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7C16" w14:textId="2C0D81F6" w:rsidR="00515918" w:rsidRPr="00515918" w:rsidRDefault="00515918" w:rsidP="00515918">
      <w:pPr>
        <w:pStyle w:val="Heading1"/>
        <w:spacing w:before="120"/>
        <w:jc w:val="center"/>
        <w:rPr>
          <w:b/>
          <w:bCs/>
        </w:rPr>
      </w:pPr>
      <w:r w:rsidRPr="00515918">
        <w:rPr>
          <w:noProof/>
        </w:rPr>
        <w:drawing>
          <wp:anchor distT="0" distB="0" distL="114300" distR="114300" simplePos="0" relativeHeight="251658240" behindDoc="1" locked="0" layoutInCell="1" allowOverlap="1" wp14:anchorId="33CD73DD" wp14:editId="05FD4C44">
            <wp:simplePos x="0" y="0"/>
            <wp:positionH relativeFrom="column">
              <wp:posOffset>-647700</wp:posOffset>
            </wp:positionH>
            <wp:positionV relativeFrom="paragraph">
              <wp:posOffset>-904875</wp:posOffset>
            </wp:positionV>
            <wp:extent cx="1333500" cy="2000250"/>
            <wp:effectExtent l="0" t="0" r="0" b="0"/>
            <wp:wrapNone/>
            <wp:docPr id="1025" name="Picture 1">
              <a:extLst xmlns:a="http://schemas.openxmlformats.org/drawingml/2006/main">
                <a:ext uri="{FF2B5EF4-FFF2-40B4-BE49-F238E27FC236}">
                  <a16:creationId xmlns:a16="http://schemas.microsoft.com/office/drawing/2014/main" id="{CD8BFD3E-8392-43ED-B725-543D4E8C18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CD8BFD3E-8392-43ED-B725-543D4E8C187C}"/>
                        </a:ext>
                      </a:extLst>
                    </pic:cNvPr>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335928" cy="2003892"/>
                    </a:xfrm>
                    <a:prstGeom prst="rect">
                      <a:avLst/>
                    </a:prstGeom>
                    <a:noFill/>
                  </pic:spPr>
                </pic:pic>
              </a:graphicData>
            </a:graphic>
            <wp14:sizeRelH relativeFrom="margin">
              <wp14:pctWidth>0</wp14:pctWidth>
            </wp14:sizeRelH>
            <wp14:sizeRelV relativeFrom="margin">
              <wp14:pctHeight>0</wp14:pctHeight>
            </wp14:sizeRelV>
          </wp:anchor>
        </w:drawing>
      </w:r>
      <w:r w:rsidRPr="00515918">
        <w:rPr>
          <w:b/>
          <w:bCs/>
        </w:rPr>
        <w:t>Wellbeing of Children &amp; Young People</w:t>
      </w:r>
    </w:p>
    <w:p w14:paraId="7FAB2BF3" w14:textId="345340E2" w:rsidR="00515918" w:rsidRPr="00515918" w:rsidRDefault="00515918" w:rsidP="00515918">
      <w:pPr>
        <w:pStyle w:val="Heading1"/>
        <w:spacing w:before="120"/>
        <w:jc w:val="center"/>
        <w:rPr>
          <w:sz w:val="28"/>
          <w:szCs w:val="28"/>
        </w:rPr>
      </w:pPr>
      <w:r w:rsidRPr="00515918">
        <w:rPr>
          <w:sz w:val="28"/>
          <w:szCs w:val="28"/>
        </w:rPr>
        <w:t>CPIB Short Life Working Group, May 2023</w:t>
      </w:r>
    </w:p>
    <w:p w14:paraId="5D07BA74" w14:textId="37C85A01" w:rsidR="00515918" w:rsidRPr="00515918" w:rsidRDefault="00515918" w:rsidP="00515918">
      <w:pPr>
        <w:pStyle w:val="Heading1"/>
        <w:spacing w:before="120"/>
        <w:jc w:val="center"/>
        <w:rPr>
          <w:sz w:val="28"/>
          <w:szCs w:val="28"/>
        </w:rPr>
      </w:pPr>
      <w:r w:rsidRPr="00515918">
        <w:rPr>
          <w:sz w:val="28"/>
          <w:szCs w:val="28"/>
        </w:rPr>
        <w:t>Background Paper</w:t>
      </w:r>
    </w:p>
    <w:p w14:paraId="7B2A4722" w14:textId="003263EC" w:rsidR="00515918" w:rsidRDefault="00515918" w:rsidP="00515918">
      <w:pPr>
        <w:tabs>
          <w:tab w:val="left" w:pos="720"/>
        </w:tabs>
        <w:spacing w:after="0"/>
      </w:pPr>
    </w:p>
    <w:p w14:paraId="283002AB" w14:textId="77777777" w:rsidR="007A7F0C" w:rsidRDefault="007A7F0C" w:rsidP="00515918">
      <w:pPr>
        <w:tabs>
          <w:tab w:val="left" w:pos="720"/>
        </w:tabs>
        <w:spacing w:after="0"/>
      </w:pPr>
    </w:p>
    <w:p w14:paraId="353B6A33" w14:textId="2198FFD2" w:rsidR="000F3929" w:rsidRDefault="00C82841" w:rsidP="007A7F0C">
      <w:pPr>
        <w:pStyle w:val="Heading1"/>
      </w:pPr>
      <w:r>
        <w:t>Theme 1: Building &amp; Facilitating Relationships</w:t>
      </w:r>
    </w:p>
    <w:p w14:paraId="5B7059D0" w14:textId="77777777" w:rsidR="007A7F0C" w:rsidRDefault="007A7F0C">
      <w:pPr>
        <w:rPr>
          <w:b/>
          <w:bCs/>
        </w:rPr>
      </w:pPr>
    </w:p>
    <w:p w14:paraId="23C3F269" w14:textId="24368A9C" w:rsidR="00C82841" w:rsidRPr="00C82841" w:rsidRDefault="00C82841">
      <w:pPr>
        <w:rPr>
          <w:b/>
          <w:bCs/>
        </w:rPr>
      </w:pPr>
      <w:r w:rsidRPr="00C82841">
        <w:rPr>
          <w:b/>
          <w:bCs/>
        </w:rPr>
        <w:t>Barriers we focussed on</w:t>
      </w:r>
    </w:p>
    <w:p w14:paraId="143E6168" w14:textId="77777777" w:rsidR="00C82841" w:rsidRDefault="00C82841" w:rsidP="00C82841">
      <w:pPr>
        <w:pStyle w:val="ListParagraph"/>
        <w:numPr>
          <w:ilvl w:val="0"/>
          <w:numId w:val="1"/>
        </w:numPr>
        <w:spacing w:after="0" w:line="240" w:lineRule="auto"/>
      </w:pPr>
      <w:r w:rsidRPr="0046269B">
        <w:t>Love and relationships are not always at the heart of how we currently work with children and young people, and these are the biggest contributor to CYP wellbeing, and essential in building a preventative and holistic approach</w:t>
      </w:r>
    </w:p>
    <w:p w14:paraId="382B9565" w14:textId="77777777" w:rsidR="00C82841" w:rsidRDefault="00C82841" w:rsidP="00C82841">
      <w:pPr>
        <w:pStyle w:val="ListParagraph"/>
        <w:numPr>
          <w:ilvl w:val="0"/>
          <w:numId w:val="1"/>
        </w:numPr>
        <w:spacing w:after="0" w:line="240" w:lineRule="auto"/>
      </w:pPr>
      <w:r w:rsidRPr="0046269B">
        <w:t>Experience and trauma of working with the public sector can perpetuate for the rest of their lives and has significant impacts for how people engage with public sector services down the line (e.g. employability support). The CYP we are talking about now will be the adult service users/service partners of the future, it is vital we re-evaluate how we support them now in the type of relationship which is much more democratic and centred on children’s rights</w:t>
      </w:r>
    </w:p>
    <w:p w14:paraId="7B0F0985" w14:textId="4A19DDB1" w:rsidR="00C82841" w:rsidRPr="0046269B" w:rsidRDefault="00C82841" w:rsidP="00C82841">
      <w:pPr>
        <w:pStyle w:val="ListParagraph"/>
        <w:numPr>
          <w:ilvl w:val="0"/>
          <w:numId w:val="1"/>
        </w:numPr>
        <w:spacing w:after="0" w:line="240" w:lineRule="auto"/>
      </w:pPr>
      <w:r w:rsidRPr="0046269B">
        <w:t>Greater focus is needed in the public sector on developing a shared ethos around how we speak to children/families to support them to develop relationships with</w:t>
      </w:r>
      <w:r>
        <w:t>in</w:t>
      </w:r>
      <w:r w:rsidRPr="0046269B">
        <w:t xml:space="preserve"> communities, so they become more self-sustaining</w:t>
      </w:r>
    </w:p>
    <w:p w14:paraId="28D73413" w14:textId="0AED3E9D" w:rsidR="00C82841" w:rsidRDefault="00C82841"/>
    <w:p w14:paraId="114A8942" w14:textId="77777777" w:rsidR="00C82841" w:rsidRPr="00C82841" w:rsidRDefault="00C82841" w:rsidP="00C82841">
      <w:pPr>
        <w:rPr>
          <w:b/>
          <w:bCs/>
        </w:rPr>
      </w:pPr>
      <w:r w:rsidRPr="00C82841">
        <w:rPr>
          <w:b/>
          <w:bCs/>
        </w:rPr>
        <w:t>What evidence or examples can we share re these barriers and the problems they are creating, and where we are seeing good practice/progress</w:t>
      </w:r>
    </w:p>
    <w:p w14:paraId="73806225" w14:textId="77777777" w:rsidR="00C82841" w:rsidRDefault="00C82841" w:rsidP="00515918">
      <w:pPr>
        <w:pStyle w:val="ListParagraph"/>
        <w:numPr>
          <w:ilvl w:val="0"/>
          <w:numId w:val="2"/>
        </w:numPr>
        <w:spacing w:after="0" w:line="240" w:lineRule="auto"/>
        <w:ind w:left="360"/>
      </w:pPr>
      <w:r>
        <w:t>Independent Care Review &amp; The Promise evidence base</w:t>
      </w:r>
    </w:p>
    <w:p w14:paraId="1F4215FC" w14:textId="77777777" w:rsidR="00C82841" w:rsidRDefault="00C82841" w:rsidP="00515918">
      <w:pPr>
        <w:pStyle w:val="ListParagraph"/>
        <w:numPr>
          <w:ilvl w:val="1"/>
          <w:numId w:val="2"/>
        </w:numPr>
        <w:spacing w:after="0" w:line="240" w:lineRule="auto"/>
        <w:ind w:left="1080"/>
      </w:pPr>
      <w:r w:rsidRPr="000F3929">
        <w:t>Evidence Framework</w:t>
      </w:r>
      <w:r>
        <w:t xml:space="preserve">: </w:t>
      </w:r>
      <w:hyperlink r:id="rId7" w:history="1">
        <w:r w:rsidRPr="000F3929">
          <w:rPr>
            <w:b/>
            <w:bCs/>
            <w:color w:val="0070C0"/>
          </w:rPr>
          <w:t>https://www.carereview.scot/conclusions/evidence/</w:t>
        </w:r>
      </w:hyperlink>
      <w:r w:rsidRPr="000F3929">
        <w:rPr>
          <w:b/>
          <w:bCs/>
          <w:color w:val="0070C0"/>
        </w:rPr>
        <w:t xml:space="preserve"> </w:t>
      </w:r>
    </w:p>
    <w:p w14:paraId="1A9DCDFD" w14:textId="77777777" w:rsidR="00C82841" w:rsidRDefault="00C82841" w:rsidP="00515918">
      <w:pPr>
        <w:pStyle w:val="ListParagraph"/>
        <w:numPr>
          <w:ilvl w:val="1"/>
          <w:numId w:val="2"/>
        </w:numPr>
        <w:ind w:left="1080"/>
      </w:pPr>
      <w:r w:rsidRPr="000F3929">
        <w:t>Follow the money</w:t>
      </w:r>
      <w:r>
        <w:t xml:space="preserve">: </w:t>
      </w:r>
      <w:hyperlink r:id="rId8" w:history="1">
        <w:r w:rsidRPr="000F3929">
          <w:rPr>
            <w:b/>
            <w:bCs/>
            <w:color w:val="0070C0"/>
          </w:rPr>
          <w:t>https://thepromise.scot/resources/2020/follow-the-money.pdf</w:t>
        </w:r>
      </w:hyperlink>
      <w:r w:rsidRPr="000F3929">
        <w:rPr>
          <w:b/>
          <w:bCs/>
          <w:color w:val="0070C0"/>
        </w:rPr>
        <w:t xml:space="preserve"> </w:t>
      </w:r>
    </w:p>
    <w:p w14:paraId="455237CB" w14:textId="0F1458C2" w:rsidR="00C82841" w:rsidRDefault="00C82841" w:rsidP="00515918">
      <w:pPr>
        <w:pStyle w:val="ListParagraph"/>
        <w:spacing w:after="0" w:line="240" w:lineRule="auto"/>
        <w:ind w:left="1080"/>
      </w:pPr>
      <w:r>
        <w:t xml:space="preserve"> </w:t>
      </w:r>
    </w:p>
    <w:p w14:paraId="7E333904" w14:textId="5CD45A0D" w:rsidR="00C82841" w:rsidRDefault="00C82841" w:rsidP="00515918">
      <w:pPr>
        <w:pStyle w:val="ListParagraph"/>
        <w:numPr>
          <w:ilvl w:val="0"/>
          <w:numId w:val="2"/>
        </w:numPr>
        <w:ind w:left="360"/>
      </w:pPr>
      <w:r>
        <w:t>Learning from The Promise Partnership funded projects, particularly those focussed on ‘A Good Childhood’ (</w:t>
      </w:r>
      <w:hyperlink r:id="rId9" w:history="1">
        <w:r w:rsidRPr="00B72309">
          <w:t>https://www.corra.scot/grants/revision-of-the-promise-partnership/</w:t>
        </w:r>
      </w:hyperlink>
      <w:r>
        <w:t xml:space="preserve"> )  </w:t>
      </w:r>
      <w:r w:rsidRPr="00BB54FC">
        <w:rPr>
          <w:highlight w:val="yellow"/>
        </w:rPr>
        <w:t>Tracy to share example of project</w:t>
      </w:r>
      <w:r>
        <w:t xml:space="preserve"> which focus on </w:t>
      </w:r>
      <w:r w:rsidRPr="00723ADC">
        <w:t>birth parents who have had a child/children permanently removed from their care which demonstrate the support needed at all stages across the life span to break cycles and affect generational change drawing on lived experience of parents</w:t>
      </w:r>
      <w:r>
        <w:t>.</w:t>
      </w:r>
    </w:p>
    <w:p w14:paraId="598F9CC2" w14:textId="77777777" w:rsidR="00C82841" w:rsidRPr="00723ADC" w:rsidRDefault="00C82841" w:rsidP="00515918">
      <w:pPr>
        <w:pStyle w:val="ListParagraph"/>
        <w:ind w:left="360"/>
      </w:pPr>
    </w:p>
    <w:p w14:paraId="0E1F393B" w14:textId="77777777" w:rsidR="00C82841" w:rsidRDefault="00C82841" w:rsidP="00515918">
      <w:pPr>
        <w:pStyle w:val="ListParagraph"/>
        <w:numPr>
          <w:ilvl w:val="0"/>
          <w:numId w:val="2"/>
        </w:numPr>
        <w:spacing w:after="0" w:line="240" w:lineRule="auto"/>
        <w:ind w:left="360"/>
      </w:pPr>
      <w:r>
        <w:t xml:space="preserve">Trauma-Informed approaches. </w:t>
      </w:r>
    </w:p>
    <w:p w14:paraId="5EE339C3" w14:textId="77777777" w:rsidR="00C82841" w:rsidRDefault="00C82841" w:rsidP="00515918">
      <w:pPr>
        <w:pStyle w:val="ListParagraph"/>
        <w:numPr>
          <w:ilvl w:val="1"/>
          <w:numId w:val="2"/>
        </w:numPr>
        <w:spacing w:after="0" w:line="240" w:lineRule="auto"/>
        <w:ind w:left="1080"/>
      </w:pPr>
      <w:r>
        <w:t xml:space="preserve">The </w:t>
      </w:r>
      <w:hyperlink r:id="rId10" w:history="1">
        <w:r w:rsidRPr="00BB54FC">
          <w:rPr>
            <w:b/>
            <w:bCs/>
            <w:color w:val="0070C0"/>
          </w:rPr>
          <w:t>National Trauma Training Programme</w:t>
        </w:r>
      </w:hyperlink>
      <w:r w:rsidRPr="00BB54FC">
        <w:rPr>
          <w:b/>
          <w:bCs/>
          <w:color w:val="0070C0"/>
        </w:rPr>
        <w:t xml:space="preserve"> </w:t>
      </w:r>
      <w:r>
        <w:t xml:space="preserve">(NTTP) </w:t>
      </w:r>
      <w:r w:rsidRPr="00B72309">
        <w:t>was formed in partnership with the Scottish Government with the ambition  of  a trauma informed and responsive workforce, that is capable of recognising where people are affected by trauma and adversity, that is able to respond in ways that prevent further harm and support recovery, and can address inequalities and improve life chances.</w:t>
      </w:r>
      <w:r>
        <w:t xml:space="preserve">  The NTTP represents a £6million investment to deliver a programme of training and education resources to support the skills and knowledge of the whole Scottish workforce.  </w:t>
      </w:r>
      <w:r w:rsidRPr="00B72309">
        <w:t xml:space="preserve">The Programme provides accessible, evidence-based trauma training resources, including a leadership development component, as well as a team of Implementation Co-ordinators to support all sectors of the workforce to embed and sustain trauma-informed practice. In 2021, the Programme further established a network of senior ‘Trauma Champions’ from across Local </w:t>
      </w:r>
      <w:r w:rsidRPr="00B72309">
        <w:lastRenderedPageBreak/>
        <w:t>Authorities and Health Boards, who will be supported by NES and the Improvement Service to influence change across local areas and ensure sustainability beyond the life of the Programme.</w:t>
      </w:r>
    </w:p>
    <w:p w14:paraId="4E2BE9EC" w14:textId="77777777" w:rsidR="00C82841" w:rsidRDefault="00C82841" w:rsidP="00515918">
      <w:pPr>
        <w:pStyle w:val="ListParagraph"/>
        <w:numPr>
          <w:ilvl w:val="1"/>
          <w:numId w:val="2"/>
        </w:numPr>
        <w:spacing w:after="0" w:line="240" w:lineRule="auto"/>
        <w:ind w:left="1080"/>
      </w:pPr>
      <w:r>
        <w:t xml:space="preserve">Example: Building and facilitating relationships starts by listening and enabling the voice of lived experience to be heard and how trauma has affected their lives in ways others cannot understand. A good example of how this was facilitated was a collaborative piece of work which formed part of the development of a new strategic plan by Clackmannanshire Community Justice Partnership, APEX and Resilience Learning Partnership CIC, who are an organisation who helps bring the voice of lived experience practice front and centre and importance of adopting a trauma-informed approach. Together they used a range of ‘justice journeys’ from a young age with groups of statutory/third sector stakeholders; broke their stories down into sections (which were animated) and at each point asked the stakeholders using Mentimeter, what could have been done differently. It allowed stakeholders to focus on the small differences that could have changed someone’s life and how using a trauma-informed approach was key to providing the right support at the right time to avoid offending. This approach is likely to be adopted by the Clackmannanshire Council Youth Justice team who have just started working with the Centre for Youth Justice (who have been funded by The Promise to work across Scotland) who are now working also to identify how changes can be made, in particular for children coming out of care to reduce offending. </w:t>
      </w:r>
    </w:p>
    <w:p w14:paraId="05B9D4C9" w14:textId="051B9EBA" w:rsidR="00C82841" w:rsidRDefault="00C82841" w:rsidP="00515918">
      <w:pPr>
        <w:pStyle w:val="ListParagraph"/>
        <w:numPr>
          <w:ilvl w:val="1"/>
          <w:numId w:val="2"/>
        </w:numPr>
        <w:ind w:left="1080"/>
      </w:pPr>
      <w:r w:rsidRPr="00496DC0">
        <w:t xml:space="preserve">Example: Nurture programmes in Renfrewshire – </w:t>
      </w:r>
      <w:r w:rsidRPr="00BB54FC">
        <w:rPr>
          <w:highlight w:val="yellow"/>
        </w:rPr>
        <w:t>Laura to share detail</w:t>
      </w:r>
    </w:p>
    <w:p w14:paraId="0FA4F800" w14:textId="77777777" w:rsidR="00C82841" w:rsidRPr="00496DC0" w:rsidRDefault="00C82841" w:rsidP="00515918">
      <w:pPr>
        <w:pStyle w:val="ListParagraph"/>
        <w:spacing w:after="0" w:line="240" w:lineRule="auto"/>
        <w:ind w:left="1080"/>
      </w:pPr>
    </w:p>
    <w:p w14:paraId="30AD3EAA" w14:textId="69107ADF" w:rsidR="00C82841" w:rsidRDefault="00C82841" w:rsidP="00515918">
      <w:pPr>
        <w:pStyle w:val="ListParagraph"/>
        <w:numPr>
          <w:ilvl w:val="0"/>
          <w:numId w:val="2"/>
        </w:numPr>
        <w:ind w:left="360"/>
      </w:pPr>
      <w:r w:rsidRPr="00723ADC">
        <w:t xml:space="preserve">Safeguarding through Rapid Intervention (STRIVE) is a multi-agency, public sector team working together to improve the existing system of safeguarding vulnerable individuals within Clackmannanshire on the cusp of statutory intervention. Sharing crucial pieces of information at the earliest opportunity between trusted partners means practitioners are better able to “join the dots” to understand the overall vulnerability of cases and share knowledge of existing support and interventions underway: this better informs the most appropriate action, reduces the likelihood and impact of people experiencing crisis and reduces the intensive resource required by services. </w:t>
      </w:r>
      <w:r>
        <w:t xml:space="preserve">The establishment of the STRIVE model happened after Clackmannanshire Council CPP visited East Ayrshire Council in 2019 to understand the impact of their early intervention programme they were running. This led to the development of the STRIVE model in Clacks where council departments, Police and third sector work together – and now co-locate to work with people and families to reduce crisis situations. This is now being developed into an up-streamed model to identify earlier indicators of crisis emerging through schools and third sector organisations who are working with families already. </w:t>
      </w:r>
      <w:r w:rsidRPr="00723ADC">
        <w:t>An evaluation of STRIVE was undertaken in March 2021 by Vanguard Scotland Ltd. Benefits of STRIVE identified are: preventing homelessness by supporting individuals and families to obtain and sustain new or more suitable tenancies; improving financial security by undertaking immediate financial assessments, improving access to benefits entitlements and access to further education and employability; reducing police involvement; providing a rapid, direct pathway from the STRIVE table to mental health and wellbeing supports; reducing alcohol and drugs use; keeping families together; supporting those fleeing domestic violence; improving fire safety in the home; and arranging support to undertake household tasks.</w:t>
      </w:r>
      <w:r>
        <w:t xml:space="preserve">  </w:t>
      </w:r>
      <w:r w:rsidRPr="009F0480">
        <w:t xml:space="preserve">If </w:t>
      </w:r>
      <w:r>
        <w:t>the</w:t>
      </w:r>
      <w:r w:rsidRPr="009F0480">
        <w:t xml:space="preserve"> STRIVE model of early multi-agency support could be up streamed further with CPP partners, and if it could be supported by Community Link Workers from health this would allow for greater and earlier community</w:t>
      </w:r>
      <w:r>
        <w:t>-</w:t>
      </w:r>
      <w:r w:rsidRPr="009F0480">
        <w:t xml:space="preserve">based interventions and less prescription and medicalising </w:t>
      </w:r>
      <w:r>
        <w:t xml:space="preserve">of </w:t>
      </w:r>
      <w:r w:rsidRPr="009F0480">
        <w:t>issues.</w:t>
      </w:r>
      <w:r>
        <w:t xml:space="preserve"> </w:t>
      </w:r>
    </w:p>
    <w:p w14:paraId="3846A28A" w14:textId="77777777" w:rsidR="00C82841" w:rsidRPr="009F0480" w:rsidRDefault="00C82841" w:rsidP="00515918">
      <w:pPr>
        <w:pStyle w:val="ListParagraph"/>
        <w:spacing w:after="0" w:line="240" w:lineRule="auto"/>
        <w:ind w:left="360"/>
      </w:pPr>
    </w:p>
    <w:p w14:paraId="242E76FC" w14:textId="4C44FE79" w:rsidR="00C82841" w:rsidRDefault="00C82841" w:rsidP="00515918">
      <w:pPr>
        <w:pStyle w:val="ListParagraph"/>
        <w:numPr>
          <w:ilvl w:val="0"/>
          <w:numId w:val="2"/>
        </w:numPr>
        <w:ind w:left="360"/>
      </w:pPr>
      <w:r>
        <w:t>Existing approaches within Children’s Services Planning can view p</w:t>
      </w:r>
      <w:r w:rsidRPr="0071167A">
        <w:t xml:space="preserve">revention and </w:t>
      </w:r>
      <w:r>
        <w:t>e</w:t>
      </w:r>
      <w:r w:rsidRPr="0071167A">
        <w:t xml:space="preserve">arly intervention </w:t>
      </w:r>
      <w:r>
        <w:t xml:space="preserve">as something that happens after problems have occurred. An intensive focus on upstream prevention requires a shared ethos in relation to early intervention and a recognition of the kinds of relationships children can have which can generate toxic shame, and the need to build  up community capacity and a preventative environment to avoid that before services come in. </w:t>
      </w:r>
    </w:p>
    <w:p w14:paraId="35DF5D5F" w14:textId="77777777" w:rsidR="00C82841" w:rsidRDefault="00C82841" w:rsidP="00515918">
      <w:pPr>
        <w:pStyle w:val="ListParagraph"/>
        <w:ind w:left="360"/>
      </w:pPr>
    </w:p>
    <w:p w14:paraId="07590956" w14:textId="2D5BF135" w:rsidR="00C82841" w:rsidRDefault="00C82841" w:rsidP="00515918">
      <w:pPr>
        <w:pStyle w:val="ListParagraph"/>
        <w:numPr>
          <w:ilvl w:val="0"/>
          <w:numId w:val="2"/>
        </w:numPr>
        <w:ind w:left="360"/>
      </w:pPr>
      <w:r w:rsidRPr="00733750">
        <w:t>Community potential remains untapped</w:t>
      </w:r>
      <w:r>
        <w:t xml:space="preserve"> in many partnership approaches</w:t>
      </w:r>
      <w:r w:rsidRPr="00733750">
        <w:t xml:space="preserve">. The lack of trust/courage within the public sector in relation to the community potential is a barrier to engaging in more direct work with communities.  There is a concern that agencies don’t trust communities to take resources and work things out themselves.  This is a short-sighted approach as those communities will still be there when the money runs out.  As a public sector, we need to be better at redistributing the available resource, to build a more sustainable legacy. </w:t>
      </w:r>
    </w:p>
    <w:p w14:paraId="52C0FAB4" w14:textId="77777777" w:rsidR="00C82841" w:rsidRDefault="00C82841" w:rsidP="00515918">
      <w:pPr>
        <w:pStyle w:val="ListParagraph"/>
        <w:ind w:left="360"/>
      </w:pPr>
    </w:p>
    <w:p w14:paraId="7DC7EED3" w14:textId="27CC9C6F" w:rsidR="00C82841" w:rsidRDefault="00C82841" w:rsidP="00515918">
      <w:pPr>
        <w:numPr>
          <w:ilvl w:val="0"/>
          <w:numId w:val="2"/>
        </w:numPr>
        <w:spacing w:after="0" w:line="240" w:lineRule="auto"/>
        <w:ind w:left="360"/>
      </w:pPr>
      <w:r>
        <w:t>There are examples of 3rd sector organisations who have trusting relationships with children and their families and where the support is making the most difference.  For example, approaches which are making the most progress engaging children who are school refusers are focussed on building relationships, e.g. Sistema Scotland.  It is essential we recognise the value in these approaches, and ensure we nurture and sustain them.</w:t>
      </w:r>
    </w:p>
    <w:p w14:paraId="4A87B3EC" w14:textId="4B897371" w:rsidR="00C82841" w:rsidRDefault="00C82841"/>
    <w:tbl>
      <w:tblPr>
        <w:tblStyle w:val="TableGrid"/>
        <w:tblW w:w="5678" w:type="pct"/>
        <w:tblInd w:w="-714" w:type="dxa"/>
        <w:tblLook w:val="04A0" w:firstRow="1" w:lastRow="0" w:firstColumn="1" w:lastColumn="0" w:noHBand="0" w:noVBand="1"/>
      </w:tblPr>
      <w:tblGrid>
        <w:gridCol w:w="4396"/>
        <w:gridCol w:w="6660"/>
      </w:tblGrid>
      <w:tr w:rsidR="000F3929" w:rsidRPr="0028537E" w14:paraId="4E3DF6FB" w14:textId="77777777" w:rsidTr="00810BCD">
        <w:tc>
          <w:tcPr>
            <w:tcW w:w="1988" w:type="pct"/>
            <w:shd w:val="clear" w:color="auto" w:fill="ED7D31" w:themeFill="accent2"/>
            <w:vAlign w:val="center"/>
          </w:tcPr>
          <w:p w14:paraId="2227C1D6" w14:textId="3E647074" w:rsidR="00C82841" w:rsidRPr="0028537E" w:rsidRDefault="00C82841" w:rsidP="00D47AB3">
            <w:pPr>
              <w:pStyle w:val="NormalWeb"/>
              <w:spacing w:before="0" w:beforeAutospacing="0" w:after="0" w:afterAutospacing="0" w:line="256" w:lineRule="auto"/>
              <w:rPr>
                <w:rFonts w:ascii="Arial" w:hAnsi="Arial" w:cs="Arial"/>
                <w:sz w:val="32"/>
                <w:szCs w:val="32"/>
              </w:rPr>
            </w:pPr>
            <w:r w:rsidRPr="0028537E">
              <w:rPr>
                <w:rFonts w:ascii="Calibri" w:hAnsi="Calibri" w:cs="Calibri"/>
                <w:b/>
                <w:bCs/>
                <w:color w:val="FFFFFF" w:themeColor="light1"/>
                <w:kern w:val="24"/>
                <w:sz w:val="32"/>
                <w:szCs w:val="32"/>
              </w:rPr>
              <w:t>Our Solutions</w:t>
            </w:r>
            <w:r>
              <w:rPr>
                <w:rFonts w:ascii="Calibri" w:hAnsi="Calibri" w:cs="Calibri"/>
                <w:b/>
                <w:bCs/>
                <w:color w:val="FFFFFF" w:themeColor="light1"/>
                <w:kern w:val="24"/>
                <w:sz w:val="32"/>
                <w:szCs w:val="32"/>
              </w:rPr>
              <w:t xml:space="preserve"> - </w:t>
            </w:r>
            <w:r w:rsidRPr="0028537E">
              <w:rPr>
                <w:rFonts w:ascii="Calibri" w:hAnsi="Calibri" w:cs="Calibri"/>
                <w:b/>
                <w:bCs/>
                <w:color w:val="FFFFFF" w:themeColor="light1"/>
                <w:kern w:val="24"/>
                <w:sz w:val="32"/>
                <w:szCs w:val="32"/>
              </w:rPr>
              <w:t>National Action</w:t>
            </w:r>
          </w:p>
        </w:tc>
        <w:tc>
          <w:tcPr>
            <w:tcW w:w="3012" w:type="pct"/>
            <w:shd w:val="clear" w:color="auto" w:fill="ED7D31" w:themeFill="accent2"/>
          </w:tcPr>
          <w:p w14:paraId="6A440342" w14:textId="2273B0C7" w:rsidR="00C82841" w:rsidRPr="0028537E" w:rsidRDefault="00C82841" w:rsidP="00D47AB3">
            <w:pPr>
              <w:pStyle w:val="NormalWeb"/>
              <w:spacing w:before="0" w:beforeAutospacing="0" w:after="0" w:afterAutospacing="0" w:line="256" w:lineRule="auto"/>
              <w:rPr>
                <w:rFonts w:ascii="Calibri" w:hAnsi="Calibri" w:cs="Calibri"/>
                <w:b/>
                <w:bCs/>
                <w:color w:val="FFFFFF" w:themeColor="light1"/>
                <w:kern w:val="24"/>
                <w:sz w:val="32"/>
                <w:szCs w:val="32"/>
              </w:rPr>
            </w:pPr>
            <w:r w:rsidRPr="0028537E">
              <w:rPr>
                <w:rFonts w:ascii="Calibri" w:hAnsi="Calibri" w:cs="Calibri"/>
                <w:b/>
                <w:bCs/>
                <w:color w:val="FFFFFF" w:themeColor="light1"/>
                <w:kern w:val="24"/>
                <w:sz w:val="32"/>
                <w:szCs w:val="32"/>
              </w:rPr>
              <w:t xml:space="preserve">Our Solutions </w:t>
            </w:r>
            <w:r>
              <w:rPr>
                <w:rFonts w:ascii="Calibri" w:hAnsi="Calibri" w:cs="Calibri"/>
                <w:b/>
                <w:bCs/>
                <w:color w:val="FFFFFF" w:themeColor="light1"/>
                <w:kern w:val="24"/>
                <w:sz w:val="32"/>
                <w:szCs w:val="32"/>
              </w:rPr>
              <w:t xml:space="preserve">- </w:t>
            </w:r>
            <w:r w:rsidRPr="0028537E">
              <w:rPr>
                <w:rFonts w:ascii="Calibri" w:hAnsi="Calibri" w:cs="Calibri"/>
                <w:b/>
                <w:bCs/>
                <w:color w:val="FFFFFF" w:themeColor="light1"/>
                <w:kern w:val="24"/>
                <w:sz w:val="32"/>
                <w:szCs w:val="32"/>
              </w:rPr>
              <w:t>Local Action</w:t>
            </w:r>
          </w:p>
        </w:tc>
      </w:tr>
      <w:tr w:rsidR="000F3929" w:rsidRPr="0046269B" w14:paraId="3B93624E" w14:textId="77777777" w:rsidTr="00810BCD">
        <w:tc>
          <w:tcPr>
            <w:tcW w:w="1988" w:type="pct"/>
          </w:tcPr>
          <w:p w14:paraId="3A38ECA0" w14:textId="77777777" w:rsidR="00C82841" w:rsidRPr="00E44E62" w:rsidRDefault="00C82841" w:rsidP="00C82841">
            <w:pPr>
              <w:numPr>
                <w:ilvl w:val="0"/>
                <w:numId w:val="4"/>
              </w:numPr>
            </w:pPr>
            <w:r w:rsidRPr="00733750">
              <w:rPr>
                <w:b/>
                <w:bCs/>
              </w:rPr>
              <w:t>Funding Outcomes.</w:t>
            </w:r>
            <w:r>
              <w:t xml:space="preserve"> A joint focus is required in relation to outcomes and impact for children and young people, rather than linking funding to the delivery of x number of hours to x number of children</w:t>
            </w:r>
          </w:p>
          <w:p w14:paraId="34DA901D" w14:textId="77777777" w:rsidR="00C82841" w:rsidRPr="00E44E62" w:rsidRDefault="00C82841" w:rsidP="00C82841">
            <w:pPr>
              <w:numPr>
                <w:ilvl w:val="0"/>
                <w:numId w:val="4"/>
              </w:numPr>
            </w:pPr>
            <w:r>
              <w:rPr>
                <w:b/>
                <w:bCs/>
              </w:rPr>
              <w:t xml:space="preserve">Prevention and supporting alternatives to the public sector. </w:t>
            </w:r>
            <w:r w:rsidRPr="00733750">
              <w:t>Scottish Government should set out the expectation that real upstream/prevention and early intervention work is funded and sustained.  Scottish Government should trust in and put more funding into the early intervention offers and the Third Sector to provide alternatives to the public sector, with money allocated in a more targeted place-based approach</w:t>
            </w:r>
          </w:p>
          <w:p w14:paraId="3FD78825" w14:textId="77777777" w:rsidR="00C82841" w:rsidRPr="00E44E62" w:rsidRDefault="00C82841" w:rsidP="00C82841">
            <w:pPr>
              <w:numPr>
                <w:ilvl w:val="0"/>
                <w:numId w:val="4"/>
              </w:numPr>
            </w:pPr>
            <w:r w:rsidRPr="00733750">
              <w:rPr>
                <w:b/>
                <w:bCs/>
              </w:rPr>
              <w:t>Community role:</w:t>
            </w:r>
            <w:r>
              <w:t xml:space="preserve"> Scottish Government should set out an expectation of working in partnerships with communities and families and not just ‘doing to’ or ‘fixing’ them.  It would be helpful to raise the profile and strengthen messaging in relation to how community assets are valued, to give confidence to communities and to help to build trust.</w:t>
            </w:r>
          </w:p>
          <w:p w14:paraId="4A8EC497" w14:textId="77777777" w:rsidR="00C82841" w:rsidRPr="0046269B" w:rsidRDefault="00C82841" w:rsidP="00C82841">
            <w:pPr>
              <w:numPr>
                <w:ilvl w:val="0"/>
                <w:numId w:val="4"/>
              </w:numPr>
            </w:pPr>
            <w:r w:rsidRPr="00733750">
              <w:rPr>
                <w:b/>
                <w:bCs/>
              </w:rPr>
              <w:t>Covid impact on mental health and well-being.</w:t>
            </w:r>
            <w:r>
              <w:t xml:space="preserve"> Scottish Government should give greater policy focus to the Covid impact on children and families within areas such as mental health and wellbeing.</w:t>
            </w:r>
          </w:p>
        </w:tc>
        <w:tc>
          <w:tcPr>
            <w:tcW w:w="3012" w:type="pct"/>
          </w:tcPr>
          <w:p w14:paraId="6218A3D4" w14:textId="77777777" w:rsidR="00C82841" w:rsidRDefault="00C82841" w:rsidP="00C82841">
            <w:pPr>
              <w:pStyle w:val="ListParagraph"/>
              <w:numPr>
                <w:ilvl w:val="0"/>
                <w:numId w:val="3"/>
              </w:numPr>
              <w:spacing w:after="160" w:line="259" w:lineRule="auto"/>
            </w:pPr>
            <w:r w:rsidRPr="0028537E">
              <w:rPr>
                <w:b/>
                <w:bCs/>
              </w:rPr>
              <w:t>Third Sector &amp; trusting relationships with children/families.</w:t>
            </w:r>
            <w:r>
              <w:t xml:space="preserve"> Community Planning Partnerships should support genuine partnership working with those Third Sector organisations who have trusting relationships with children and their families. A greater focus is needed on funding those places where relationships do form, and on sustaining and nurturing those approaches that provide the right support and which are making the most difference. </w:t>
            </w:r>
          </w:p>
          <w:p w14:paraId="6651E716" w14:textId="77777777" w:rsidR="00C82841" w:rsidRDefault="00C82841" w:rsidP="00C82841">
            <w:pPr>
              <w:pStyle w:val="ListParagraph"/>
              <w:numPr>
                <w:ilvl w:val="0"/>
                <w:numId w:val="3"/>
              </w:numPr>
              <w:spacing w:after="160" w:line="259" w:lineRule="auto"/>
            </w:pPr>
            <w:r w:rsidRPr="0028537E">
              <w:rPr>
                <w:b/>
                <w:bCs/>
              </w:rPr>
              <w:t>The importance of forming loving relationships.</w:t>
            </w:r>
            <w:r>
              <w:t xml:space="preserve"> Community Planning Partnerships should use The Promise to raise awareness and build courage around the importance of forming loving relationships with children and young people, and to tackle fears and misconceptions in relation to regulation and other barriers.</w:t>
            </w:r>
          </w:p>
          <w:p w14:paraId="6F1B267C" w14:textId="17561111" w:rsidR="00C82841" w:rsidRDefault="00C82841" w:rsidP="00810BCD">
            <w:pPr>
              <w:pStyle w:val="ListParagraph"/>
              <w:numPr>
                <w:ilvl w:val="0"/>
                <w:numId w:val="3"/>
              </w:numPr>
              <w:spacing w:after="160" w:line="259" w:lineRule="auto"/>
            </w:pPr>
            <w:r w:rsidRPr="0028537E">
              <w:rPr>
                <w:b/>
                <w:bCs/>
              </w:rPr>
              <w:t>Involving Communities.</w:t>
            </w:r>
            <w:r>
              <w:t xml:space="preserve"> Community Planning Partnerships should h</w:t>
            </w:r>
            <w:r w:rsidRPr="008F5084">
              <w:t xml:space="preserve">ave courage to plan upstream prevention and early intervention work that involves communities and to commit </w:t>
            </w:r>
            <w:r>
              <w:t xml:space="preserve">to </w:t>
            </w:r>
            <w:r w:rsidRPr="008F5084">
              <w:t>a timescale that can demonstrate outcomes</w:t>
            </w:r>
            <w:r>
              <w:t>.  CPPs should work more with Community Link Workers and Community Learning approaches to deliver more community-based interventions to reduce the reliance on mainstream services and to empower people to make decisions based on their own capacity (linked to social prescribing etc).  Partnerships should e</w:t>
            </w:r>
            <w:r w:rsidRPr="008F5084">
              <w:t xml:space="preserve">xpand </w:t>
            </w:r>
            <w:r>
              <w:t xml:space="preserve">their </w:t>
            </w:r>
            <w:r w:rsidRPr="008F5084">
              <w:t>use of evidence from community</w:t>
            </w:r>
            <w:r>
              <w:t>-</w:t>
            </w:r>
            <w:r w:rsidRPr="008F5084">
              <w:t>based health development work</w:t>
            </w:r>
            <w:r>
              <w:t xml:space="preserve"> whose</w:t>
            </w:r>
            <w:r w:rsidRPr="008F5084">
              <w:t xml:space="preserve"> ethos fits well</w:t>
            </w:r>
            <w:r>
              <w:t xml:space="preserve"> with this approach. </w:t>
            </w:r>
            <w:r w:rsidR="00810BCD" w:rsidRPr="00810BCD">
              <w:t xml:space="preserve">This is linked to the resourcing of the 3rd sector as many CLD services have been reduced significantly so it will be difficult to deliver this action within current funding arrangements. </w:t>
            </w:r>
            <w:r>
              <w:t xml:space="preserve"> </w:t>
            </w:r>
          </w:p>
          <w:p w14:paraId="42EA8F97" w14:textId="1EB50CF4" w:rsidR="00C82841" w:rsidRPr="0046269B" w:rsidRDefault="00C82841" w:rsidP="00E34AE5">
            <w:pPr>
              <w:pStyle w:val="ListParagraph"/>
              <w:numPr>
                <w:ilvl w:val="0"/>
                <w:numId w:val="3"/>
              </w:numPr>
              <w:spacing w:after="160" w:line="259" w:lineRule="auto"/>
            </w:pPr>
            <w:r w:rsidRPr="00BB54FC">
              <w:rPr>
                <w:b/>
                <w:bCs/>
              </w:rPr>
              <w:t>National Trauma Training Programme</w:t>
            </w:r>
            <w:r>
              <w:t xml:space="preserve">. CPPs should consider how they make use of the support and resources available from the </w:t>
            </w:r>
            <w:r w:rsidRPr="0046269B">
              <w:t>National Trauma</w:t>
            </w:r>
            <w:r>
              <w:t xml:space="preserve"> Training</w:t>
            </w:r>
            <w:r w:rsidRPr="0046269B">
              <w:t xml:space="preserve"> Programme </w:t>
            </w:r>
            <w:r>
              <w:t xml:space="preserve">which offers </w:t>
            </w:r>
            <w:r w:rsidRPr="0046269B">
              <w:t>pot</w:t>
            </w:r>
            <w:r>
              <w:t>ential to make a significant difference in developing responses which prevent further harm and support recovery.</w:t>
            </w:r>
          </w:p>
        </w:tc>
      </w:tr>
    </w:tbl>
    <w:p w14:paraId="01741668" w14:textId="047FA55C" w:rsidR="00C82841" w:rsidRDefault="00C82841"/>
    <w:p w14:paraId="2FF76C1A" w14:textId="772EB98E" w:rsidR="00C82841" w:rsidRDefault="00C82841" w:rsidP="000F3929">
      <w:pPr>
        <w:pStyle w:val="Heading1"/>
      </w:pPr>
      <w:r>
        <w:t>Theme 2: Receiving the right support at the right time</w:t>
      </w:r>
    </w:p>
    <w:p w14:paraId="569177EB" w14:textId="25B24B9D" w:rsidR="00C82841" w:rsidRDefault="00C82841"/>
    <w:p w14:paraId="440B8653" w14:textId="752130BB" w:rsidR="00C82841" w:rsidRPr="00C82841" w:rsidRDefault="00C82841">
      <w:pPr>
        <w:rPr>
          <w:b/>
          <w:bCs/>
        </w:rPr>
      </w:pPr>
      <w:r w:rsidRPr="00C82841">
        <w:rPr>
          <w:b/>
          <w:bCs/>
        </w:rPr>
        <w:t>Barriers we focussed on:</w:t>
      </w:r>
    </w:p>
    <w:p w14:paraId="580866B3" w14:textId="77777777" w:rsidR="00C82841" w:rsidRPr="00C82841" w:rsidRDefault="00C82841" w:rsidP="00C82841">
      <w:pPr>
        <w:pStyle w:val="ListParagraph"/>
        <w:numPr>
          <w:ilvl w:val="0"/>
          <w:numId w:val="1"/>
        </w:numPr>
      </w:pPr>
      <w:r w:rsidRPr="00C82841">
        <w:t>Too many interventions, not joined up (learn from Covid where there was a notable shift from x different providers/workers focussed on deficits, to one person talking in a much more positive way with families/children)</w:t>
      </w:r>
    </w:p>
    <w:p w14:paraId="5558D6AA" w14:textId="77777777" w:rsidR="00C82841" w:rsidRPr="00C82841" w:rsidRDefault="00C82841" w:rsidP="00C82841">
      <w:pPr>
        <w:pStyle w:val="ListParagraph"/>
        <w:numPr>
          <w:ilvl w:val="0"/>
          <w:numId w:val="1"/>
        </w:numPr>
      </w:pPr>
      <w:r w:rsidRPr="00C82841">
        <w:t>Need to break down silos (service and organisational; age silos; reach beyond Children’s services; implications for NCS)</w:t>
      </w:r>
    </w:p>
    <w:p w14:paraId="4C301857" w14:textId="77777777" w:rsidR="00C82841" w:rsidRPr="00C82841" w:rsidRDefault="00C82841" w:rsidP="00C82841">
      <w:pPr>
        <w:pStyle w:val="ListParagraph"/>
        <w:numPr>
          <w:ilvl w:val="0"/>
          <w:numId w:val="1"/>
        </w:numPr>
      </w:pPr>
      <w:r w:rsidRPr="00C82841">
        <w:t>Too paternalistic – we all hold onto children and families too tightly/for too long</w:t>
      </w:r>
    </w:p>
    <w:p w14:paraId="6C22A09D" w14:textId="77777777" w:rsidR="00C82841" w:rsidRPr="00C82841" w:rsidRDefault="00C82841" w:rsidP="00C82841">
      <w:pPr>
        <w:pStyle w:val="ListParagraph"/>
        <w:numPr>
          <w:ilvl w:val="0"/>
          <w:numId w:val="1"/>
        </w:numPr>
      </w:pPr>
      <w:r w:rsidRPr="00C82841">
        <w:t>A lot of people doing slightly different jobs, and lack of evidence of the difference each is making</w:t>
      </w:r>
    </w:p>
    <w:p w14:paraId="07788D2B" w14:textId="77777777" w:rsidR="00C82841" w:rsidRPr="00C82841" w:rsidRDefault="00C82841" w:rsidP="00C82841">
      <w:pPr>
        <w:pStyle w:val="ListParagraph"/>
        <w:numPr>
          <w:ilvl w:val="0"/>
          <w:numId w:val="1"/>
        </w:numPr>
      </w:pPr>
      <w:r w:rsidRPr="00C82841">
        <w:t>LG is not always best placed provider, need more holistic, cross sectoral partnership which makes greater use of other sectors (role for Third Sector)</w:t>
      </w:r>
    </w:p>
    <w:p w14:paraId="36CC4DEA" w14:textId="77777777" w:rsidR="00C82841" w:rsidRPr="00C82841" w:rsidRDefault="00C82841" w:rsidP="00C82841">
      <w:pPr>
        <w:pStyle w:val="ListParagraph"/>
        <w:numPr>
          <w:ilvl w:val="0"/>
          <w:numId w:val="1"/>
        </w:numPr>
      </w:pPr>
      <w:r w:rsidRPr="00C82841">
        <w:t xml:space="preserve">Need for greater joint prioritisation – we have to stop doing everything for </w:t>
      </w:r>
      <w:proofErr w:type="gramStart"/>
      <w:r w:rsidRPr="00C82841">
        <w:t>everybody</w:t>
      </w:r>
      <w:proofErr w:type="gramEnd"/>
    </w:p>
    <w:p w14:paraId="56D5D2B0" w14:textId="77777777" w:rsidR="00C82841" w:rsidRPr="00C82841" w:rsidRDefault="00C82841" w:rsidP="00C82841">
      <w:pPr>
        <w:pStyle w:val="ListParagraph"/>
        <w:numPr>
          <w:ilvl w:val="0"/>
          <w:numId w:val="1"/>
        </w:numPr>
      </w:pPr>
      <w:r w:rsidRPr="00C82841">
        <w:t>Need to demonstrate LT impact in relation to what is working, the difference it is making, and saving being generated</w:t>
      </w:r>
    </w:p>
    <w:p w14:paraId="6F54C095" w14:textId="77777777" w:rsidR="00C82841" w:rsidRDefault="00C82841" w:rsidP="00C82841"/>
    <w:p w14:paraId="5EDD1C00" w14:textId="1DA8C9DC" w:rsidR="00C82841" w:rsidRPr="00C82841" w:rsidRDefault="00C82841" w:rsidP="00C82841">
      <w:pPr>
        <w:rPr>
          <w:b/>
          <w:bCs/>
        </w:rPr>
      </w:pPr>
      <w:r w:rsidRPr="00C82841">
        <w:rPr>
          <w:b/>
          <w:bCs/>
        </w:rPr>
        <w:t>What evidence or examples can we share re these barriers and the problems they are creating, and where we are seeing good practice/progress</w:t>
      </w:r>
    </w:p>
    <w:p w14:paraId="75B94ABD" w14:textId="216CFA4C" w:rsidR="00C82841" w:rsidRDefault="00C82841" w:rsidP="00515918">
      <w:pPr>
        <w:pStyle w:val="ListParagraph"/>
        <w:numPr>
          <w:ilvl w:val="0"/>
          <w:numId w:val="18"/>
        </w:numPr>
        <w:ind w:left="360"/>
      </w:pPr>
      <w:r>
        <w:t>Barnardo’s front door to Social Work and the CYP Mental Health and Wellbeing programme in Renfrewshire (</w:t>
      </w:r>
      <w:r w:rsidRPr="00CD4AD4">
        <w:rPr>
          <w:highlight w:val="yellow"/>
        </w:rPr>
        <w:t>Laura to provide more detail</w:t>
      </w:r>
      <w:r>
        <w:t xml:space="preserve">) </w:t>
      </w:r>
    </w:p>
    <w:p w14:paraId="6CCAEF87" w14:textId="77777777" w:rsidR="00C82841" w:rsidRDefault="00C82841" w:rsidP="00515918">
      <w:pPr>
        <w:pStyle w:val="ListParagraph"/>
        <w:spacing w:after="0" w:line="240" w:lineRule="auto"/>
        <w:ind w:left="0"/>
      </w:pPr>
    </w:p>
    <w:p w14:paraId="704C5FBE" w14:textId="438D52C8" w:rsidR="00C82841" w:rsidRDefault="00C82841" w:rsidP="00515918">
      <w:pPr>
        <w:pStyle w:val="ListParagraph"/>
        <w:numPr>
          <w:ilvl w:val="0"/>
          <w:numId w:val="18"/>
        </w:numPr>
        <w:ind w:left="360"/>
      </w:pPr>
      <w:r>
        <w:t>Winter Connections &amp; Summer of Fun programmes in Renfrewshire focus on building community capacity whilst addressing household financial insecurity (</w:t>
      </w:r>
      <w:r w:rsidRPr="00CD4AD4">
        <w:rPr>
          <w:highlight w:val="yellow"/>
        </w:rPr>
        <w:t>Laura to provide more detail</w:t>
      </w:r>
      <w:r>
        <w:t>)</w:t>
      </w:r>
    </w:p>
    <w:p w14:paraId="6003AC2C" w14:textId="77777777" w:rsidR="00C82841" w:rsidRDefault="00C82841" w:rsidP="00515918">
      <w:pPr>
        <w:pStyle w:val="ListParagraph"/>
        <w:ind w:left="0"/>
      </w:pPr>
    </w:p>
    <w:p w14:paraId="09912A05" w14:textId="2FA38C9A" w:rsidR="00C82841" w:rsidRDefault="00C82841" w:rsidP="00515918">
      <w:pPr>
        <w:pStyle w:val="ListParagraph"/>
        <w:numPr>
          <w:ilvl w:val="0"/>
          <w:numId w:val="18"/>
        </w:numPr>
        <w:ind w:left="360"/>
      </w:pPr>
      <w:r>
        <w:t xml:space="preserve">Befriending. Evaluation Scotland’s report </w:t>
      </w:r>
      <w:hyperlink r:id="rId11" w:history="1">
        <w:r w:rsidRPr="00CD4AD4">
          <w:rPr>
            <w:rStyle w:val="Hyperlink"/>
          </w:rPr>
          <w:t>The Source in the Sea</w:t>
        </w:r>
      </w:hyperlink>
      <w:r>
        <w:t xml:space="preserve"> illustrates how Befriending support can help connect the network of support by increasing awareness of the support available, increase referral routes and help build confidence and trust in accessing support.  The evaluation also shows that befriending helps local communities to become stronger, more cohesive, more vibrant, develop an increased sense of ownership, and a positive culture shift to become more pro-active.</w:t>
      </w:r>
    </w:p>
    <w:p w14:paraId="64002EA6" w14:textId="77777777" w:rsidR="00C82841" w:rsidRDefault="00C82841" w:rsidP="00515918">
      <w:pPr>
        <w:pStyle w:val="ListParagraph"/>
        <w:ind w:left="0"/>
      </w:pPr>
    </w:p>
    <w:p w14:paraId="50C64F6D" w14:textId="007FEE91" w:rsidR="00D250AF" w:rsidRDefault="00D250AF" w:rsidP="00515918">
      <w:pPr>
        <w:pStyle w:val="ListParagraph"/>
        <w:numPr>
          <w:ilvl w:val="0"/>
          <w:numId w:val="18"/>
        </w:numPr>
        <w:ind w:left="360"/>
      </w:pPr>
      <w:r>
        <w:t xml:space="preserve">Ethical Commissioning. </w:t>
      </w:r>
    </w:p>
    <w:p w14:paraId="3E692D7B" w14:textId="661F00EC" w:rsidR="00D250AF" w:rsidRPr="00D250AF" w:rsidRDefault="008D597D" w:rsidP="00D250AF">
      <w:pPr>
        <w:pStyle w:val="ListParagraph"/>
        <w:numPr>
          <w:ilvl w:val="0"/>
          <w:numId w:val="22"/>
        </w:numPr>
      </w:pPr>
      <w:hyperlink r:id="rId12" w:history="1">
        <w:r w:rsidR="00D250AF" w:rsidRPr="00D250AF">
          <w:rPr>
            <w:rStyle w:val="Hyperlink"/>
          </w:rPr>
          <w:t>https://spice-spotlight.scot/2022/08/12/what-is-ethical-commissioning-and-why-does-it-matter/</w:t>
        </w:r>
      </w:hyperlink>
      <w:r w:rsidR="00D250AF" w:rsidRPr="00D250AF">
        <w:t xml:space="preserve">  </w:t>
      </w:r>
    </w:p>
    <w:bookmarkStart w:id="0" w:name="_MON_1745826976"/>
    <w:bookmarkEnd w:id="0"/>
    <w:p w14:paraId="3FBB415F" w14:textId="26C49BA6" w:rsidR="00D250AF" w:rsidRDefault="008D597D" w:rsidP="00D250AF">
      <w:pPr>
        <w:pStyle w:val="ListParagraph"/>
        <w:ind w:left="1440"/>
      </w:pPr>
      <w:r>
        <w:rPr>
          <w:noProof/>
        </w:rPr>
      </w:r>
      <w:r w:rsidR="008D597D">
        <w:rPr>
          <w:noProof/>
        </w:rPr>
        <w:object w:dxaOrig="1547" w:dyaOrig="1001" w14:anchorId="5F93F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50pt;mso-width-percent:0;mso-height-percent:0;mso-width-percent:0;mso-height-percent:0" o:ole="">
            <v:imagedata r:id="rId13" o:title=""/>
          </v:shape>
          <o:OLEObject Type="Embed" ProgID="Word.Document.12" ShapeID="_x0000_i1025" DrawAspect="Icon" ObjectID="_1745997461" r:id="rId14">
            <o:FieldCodes>\s</o:FieldCodes>
          </o:OLEObject>
        </w:object>
      </w:r>
    </w:p>
    <w:p w14:paraId="62E1DCE4" w14:textId="77777777" w:rsidR="00D250AF" w:rsidRDefault="00D250AF" w:rsidP="00D250AF">
      <w:pPr>
        <w:pStyle w:val="ListParagraph"/>
      </w:pPr>
    </w:p>
    <w:p w14:paraId="2105C5DA" w14:textId="4E91F73A" w:rsidR="00C82841" w:rsidRDefault="00C82841" w:rsidP="00515918">
      <w:pPr>
        <w:pStyle w:val="ListParagraph"/>
        <w:numPr>
          <w:ilvl w:val="0"/>
          <w:numId w:val="18"/>
        </w:numPr>
        <w:ind w:left="360"/>
      </w:pPr>
      <w:r w:rsidRPr="00723ADC">
        <w:t xml:space="preserve">Safeguarding through Rapid Intervention (STRIVE) is a multi-agency, public sector team working together to improve the existing system of safeguarding vulnerable individuals within Clackmannanshire on the cusp of statutory intervention. Sharing crucial pieces of information at the earliest opportunity between trusted partners means practitioners are better able to “join the dots” to understand the overall vulnerability of cases and share knowledge of existing support and interventions underway: this better </w:t>
      </w:r>
      <w:r w:rsidRPr="00723ADC">
        <w:lastRenderedPageBreak/>
        <w:t xml:space="preserve">informs the most appropriate action, reduces the likelihood and impact of people experiencing crisis and reduces the intensive resource required by services. </w:t>
      </w:r>
      <w:r>
        <w:t xml:space="preserve">The establishment of the STRIVE model happened after Clackmannanshire Council CPP visited East Ayrshire Council in 2019 to understand the impact of their early intervention programme they were running. This led to the development of the STRIVE model in Clacks where council departments, Police and third sector work together – and now co-locate to work with people and families to reduce crisis situations. This is now being developed into an up-streamed model to identify earlier indicators of crisis emerging through schools and third sector organisations who are working with families already. </w:t>
      </w:r>
      <w:r w:rsidRPr="00723ADC">
        <w:t>An evaluation of STRIVE was undertaken in March 2021 by Vanguard Scotland Ltd. Benefits of STRIVE identified are: preventing homelessness by supporting individuals and families to obtain and sustain new or more suitable tenancies; improving financial security by undertaking immediate financial assessments, improving access to benefits entitlements and access to further education and employability; reducing police involvement; providing a rapid, direct pathway from the STRIVE table to mental health and wellbeing supports; reducing alcohol and drugs use; keeping families together; supporting those fleeing domestic violence; improving fire safety in the home; and arranging support to undertake household tasks.</w:t>
      </w:r>
      <w:r>
        <w:t xml:space="preserve">  </w:t>
      </w:r>
      <w:r w:rsidRPr="009F0480">
        <w:t xml:space="preserve">If </w:t>
      </w:r>
      <w:r>
        <w:t>the</w:t>
      </w:r>
      <w:r w:rsidRPr="009F0480">
        <w:t xml:space="preserve"> STRIVE model of early multi-agency support could be up streamed further with CPP partners, and if it could be supported by Community Link Workers from health this would allow for greater and earlier community</w:t>
      </w:r>
      <w:r>
        <w:t>-</w:t>
      </w:r>
      <w:r w:rsidRPr="009F0480">
        <w:t xml:space="preserve">based interventions and less prescription and medicalising </w:t>
      </w:r>
      <w:r>
        <w:t xml:space="preserve">of </w:t>
      </w:r>
      <w:r w:rsidRPr="009F0480">
        <w:t>issues.</w:t>
      </w:r>
      <w:r>
        <w:t xml:space="preserve"> </w:t>
      </w:r>
    </w:p>
    <w:p w14:paraId="0A137F40" w14:textId="77777777" w:rsidR="00C82841" w:rsidRDefault="00C82841" w:rsidP="00515918">
      <w:pPr>
        <w:pStyle w:val="ListParagraph"/>
        <w:ind w:left="0"/>
      </w:pPr>
    </w:p>
    <w:p w14:paraId="75841355" w14:textId="3CC31E5B" w:rsidR="00C82841" w:rsidRDefault="00C82841" w:rsidP="00515918">
      <w:pPr>
        <w:pStyle w:val="ListParagraph"/>
        <w:numPr>
          <w:ilvl w:val="0"/>
          <w:numId w:val="18"/>
        </w:numPr>
        <w:spacing w:after="0" w:line="240" w:lineRule="auto"/>
        <w:ind w:left="360"/>
      </w:pPr>
      <w:r w:rsidRPr="007509E5">
        <w:t>Partnerships have a key role to play in supporting ‘alternative school models’</w:t>
      </w:r>
      <w:r>
        <w:t xml:space="preserve"> accepting</w:t>
      </w:r>
      <w:r w:rsidRPr="007509E5">
        <w:t xml:space="preserve"> that ‘school is not for everyone’ and that approaches involving the third sector/ and or alternative school models that use meaningful work experience options need to be in place to respond quickly to needs emerging. Once a child or young person stops attending school often due to mental health issues, it can escalate quickly to full non-attendance. Education/Social work departments need to work with out of school settings like social enterprises to ensure the care, H&amp;S, insurance and support is in place - but for a relatively small cost this can provide transformational change</w:t>
      </w:r>
      <w:r>
        <w:t xml:space="preserve">.  EXAMPLE: </w:t>
      </w:r>
      <w:proofErr w:type="spellStart"/>
      <w:r>
        <w:t>Alloa</w:t>
      </w:r>
      <w:proofErr w:type="spellEnd"/>
      <w:r>
        <w:t xml:space="preserve"> Community Enterprises is a </w:t>
      </w:r>
      <w:proofErr w:type="gramStart"/>
      <w:r>
        <w:t>second hand</w:t>
      </w:r>
      <w:proofErr w:type="gramEnd"/>
      <w:r>
        <w:t xml:space="preserve"> furniture store in Clackmannanshire that has a </w:t>
      </w:r>
      <w:proofErr w:type="spellStart"/>
      <w:r>
        <w:t>Remakery</w:t>
      </w:r>
      <w:proofErr w:type="spellEnd"/>
      <w:r>
        <w:t xml:space="preserve">. Education Secondary School Support brings non-attenders to their </w:t>
      </w:r>
      <w:proofErr w:type="spellStart"/>
      <w:r>
        <w:t>Remakery</w:t>
      </w:r>
      <w:proofErr w:type="spellEnd"/>
      <w:r>
        <w:t xml:space="preserve"> and on site they are getting work experience and online training which they were not accessing otherwise as non-attenders. More importantly it shows that school is </w:t>
      </w:r>
      <w:proofErr w:type="gramStart"/>
      <w:r>
        <w:t>a very unique</w:t>
      </w:r>
      <w:proofErr w:type="gramEnd"/>
      <w:r>
        <w:t xml:space="preserve"> setting to young people and that workplaces have diverse and usually supportive mixed workforces and that can change the views of young people around learning and achieving. </w:t>
      </w:r>
      <w:proofErr w:type="spellStart"/>
      <w:r>
        <w:t>Hawkhill</w:t>
      </w:r>
      <w:proofErr w:type="spellEnd"/>
      <w:r>
        <w:t xml:space="preserve"> Community Centre now has people with additional support needs working in their community shop. </w:t>
      </w:r>
      <w:proofErr w:type="gramStart"/>
      <w:r>
        <w:t>Again</w:t>
      </w:r>
      <w:proofErr w:type="gramEnd"/>
      <w:r>
        <w:t xml:space="preserve"> with earlier adoption models while children are still at school, some of the mental health issues could be diverted earlier and meaningful opportunities provided that show they can achieve where school has not been an environment they succeeded in. </w:t>
      </w:r>
    </w:p>
    <w:p w14:paraId="0F8E0F87" w14:textId="77777777" w:rsidR="00C82841" w:rsidRDefault="00C82841" w:rsidP="00515918">
      <w:pPr>
        <w:pStyle w:val="ListParagraph"/>
        <w:ind w:left="0"/>
      </w:pPr>
    </w:p>
    <w:p w14:paraId="4196758B" w14:textId="7CE8F1B8" w:rsidR="00C82841" w:rsidRDefault="00C82841" w:rsidP="00515918">
      <w:pPr>
        <w:pStyle w:val="ListParagraph"/>
        <w:numPr>
          <w:ilvl w:val="0"/>
          <w:numId w:val="18"/>
        </w:numPr>
        <w:spacing w:after="0" w:line="240" w:lineRule="auto"/>
        <w:ind w:left="360"/>
      </w:pPr>
      <w:r>
        <w:t xml:space="preserve">Implementation of </w:t>
      </w:r>
      <w:hyperlink r:id="rId15" w:history="1">
        <w:r w:rsidRPr="001B7B6F">
          <w:rPr>
            <w:rStyle w:val="Hyperlink"/>
          </w:rPr>
          <w:t>Neurodevelopmental Pathways</w:t>
        </w:r>
      </w:hyperlink>
      <w:r>
        <w:t xml:space="preserve">.  Barriers resulting in extended waiting lists, convoluted journeys for children and families and a workforce feeling devalued.  Disconnected and disjointed things happening to families over </w:t>
      </w:r>
      <w:proofErr w:type="gramStart"/>
      <w:r>
        <w:t>a period of time</w:t>
      </w:r>
      <w:proofErr w:type="gramEnd"/>
      <w:r>
        <w:t xml:space="preserve">, as opposed to a collaborative effective support that is family centred and based on professionals speaking to each other.  Funding is needed that allows us to develop in a sustainable way.  It is difficult to get capacity across the whole system currently, as no-one will invest if there is a possibility it is going to end.  Current funding cycles/time-limited funding creates disillusionment and lack of trust with communities. </w:t>
      </w:r>
      <w:r w:rsidRPr="00D00056">
        <w:rPr>
          <w:highlight w:val="yellow"/>
        </w:rPr>
        <w:t>Tracy to provide evidence.</w:t>
      </w:r>
    </w:p>
    <w:p w14:paraId="44282F2F" w14:textId="77777777" w:rsidR="00C82841" w:rsidRDefault="00C82841" w:rsidP="00515918"/>
    <w:p w14:paraId="54A7082C" w14:textId="7E344F30" w:rsidR="00C82841" w:rsidRDefault="00C82841" w:rsidP="00515918">
      <w:pPr>
        <w:pStyle w:val="ListParagraph"/>
        <w:numPr>
          <w:ilvl w:val="0"/>
          <w:numId w:val="18"/>
        </w:numPr>
        <w:spacing w:after="0" w:line="240" w:lineRule="auto"/>
        <w:ind w:left="360"/>
      </w:pPr>
      <w:r>
        <w:t>Aftercare &amp; breaking down age silos. It is essential young people at risk are picked up fully up to 26 years plus and that we avoid children and young people ‘falling off a cliff’ at all stages.  For example, while access to college etc may be achieved, this may be at the cost of dropping out at a later stage.</w:t>
      </w:r>
    </w:p>
    <w:p w14:paraId="26F1619E" w14:textId="77777777" w:rsidR="00C82841" w:rsidRDefault="00C82841" w:rsidP="00515918"/>
    <w:p w14:paraId="153AB7E1" w14:textId="0E7E5BAE" w:rsidR="00C82841" w:rsidRDefault="00C82841" w:rsidP="00515918">
      <w:pPr>
        <w:pStyle w:val="ListParagraph"/>
        <w:numPr>
          <w:ilvl w:val="0"/>
          <w:numId w:val="18"/>
        </w:numPr>
        <w:ind w:left="360"/>
      </w:pPr>
      <w:r w:rsidRPr="00733750">
        <w:lastRenderedPageBreak/>
        <w:t>Community potential remains untapped</w:t>
      </w:r>
      <w:r>
        <w:t xml:space="preserve"> in many partnership approaches</w:t>
      </w:r>
      <w:r w:rsidRPr="00733750">
        <w:t xml:space="preserve">. The lack of trust/courage within the public sector in relation to the community potential is a barrier to engaging in more direct work with communities.  There is a concern that agencies don’t trust communities to take resources and work things out themselves.  This is a short-sighted approach as those communities will still be there when the money runs out.  As a public sector, we need to be better at redistributing the available resource, to build a more sustainable legacy. </w:t>
      </w:r>
    </w:p>
    <w:p w14:paraId="4BEE111D" w14:textId="77777777" w:rsidR="00515918" w:rsidRDefault="00515918" w:rsidP="00515918">
      <w:pPr>
        <w:pStyle w:val="ListParagraph"/>
      </w:pPr>
    </w:p>
    <w:p w14:paraId="208FE918" w14:textId="77777777" w:rsidR="00515918" w:rsidRDefault="00515918" w:rsidP="00515918">
      <w:pPr>
        <w:pStyle w:val="ListParagraph"/>
        <w:spacing w:after="0" w:line="240" w:lineRule="auto"/>
        <w:ind w:left="360"/>
      </w:pPr>
    </w:p>
    <w:p w14:paraId="15577AA2" w14:textId="413B4A30" w:rsidR="00C82841" w:rsidRDefault="00C82841"/>
    <w:tbl>
      <w:tblPr>
        <w:tblStyle w:val="TableGrid"/>
        <w:tblW w:w="5605" w:type="pct"/>
        <w:tblInd w:w="-572" w:type="dxa"/>
        <w:tblLook w:val="04A0" w:firstRow="1" w:lastRow="0" w:firstColumn="1" w:lastColumn="0" w:noHBand="0" w:noVBand="1"/>
      </w:tblPr>
      <w:tblGrid>
        <w:gridCol w:w="5103"/>
        <w:gridCol w:w="5811"/>
      </w:tblGrid>
      <w:tr w:rsidR="00C82841" w:rsidRPr="0028537E" w14:paraId="64394B7F" w14:textId="77777777" w:rsidTr="00D250AF">
        <w:tc>
          <w:tcPr>
            <w:tcW w:w="2338" w:type="pct"/>
            <w:shd w:val="clear" w:color="auto" w:fill="ED7D31" w:themeFill="accent2"/>
            <w:vAlign w:val="center"/>
          </w:tcPr>
          <w:p w14:paraId="2044568B" w14:textId="7A305603" w:rsidR="00C82841" w:rsidRPr="0028537E" w:rsidRDefault="00C82841" w:rsidP="00D47AB3">
            <w:pPr>
              <w:pStyle w:val="NormalWeb"/>
              <w:spacing w:before="0" w:beforeAutospacing="0" w:after="0" w:afterAutospacing="0" w:line="256" w:lineRule="auto"/>
              <w:rPr>
                <w:rFonts w:ascii="Arial" w:hAnsi="Arial" w:cs="Arial"/>
                <w:sz w:val="32"/>
                <w:szCs w:val="32"/>
              </w:rPr>
            </w:pPr>
            <w:r w:rsidRPr="0028537E">
              <w:rPr>
                <w:rFonts w:ascii="Calibri" w:hAnsi="Calibri" w:cs="Calibri"/>
                <w:b/>
                <w:bCs/>
                <w:color w:val="FFFFFF" w:themeColor="light1"/>
                <w:kern w:val="24"/>
                <w:sz w:val="32"/>
                <w:szCs w:val="32"/>
              </w:rPr>
              <w:t>Our Solutions</w:t>
            </w:r>
            <w:r>
              <w:rPr>
                <w:rFonts w:ascii="Calibri" w:hAnsi="Calibri" w:cs="Calibri"/>
                <w:b/>
                <w:bCs/>
                <w:color w:val="FFFFFF" w:themeColor="light1"/>
                <w:kern w:val="24"/>
                <w:sz w:val="32"/>
                <w:szCs w:val="32"/>
              </w:rPr>
              <w:t xml:space="preserve"> - </w:t>
            </w:r>
            <w:r w:rsidRPr="0028537E">
              <w:rPr>
                <w:rFonts w:ascii="Calibri" w:hAnsi="Calibri" w:cs="Calibri"/>
                <w:b/>
                <w:bCs/>
                <w:color w:val="FFFFFF" w:themeColor="light1"/>
                <w:kern w:val="24"/>
                <w:sz w:val="32"/>
                <w:szCs w:val="32"/>
              </w:rPr>
              <w:t>National Action</w:t>
            </w:r>
          </w:p>
        </w:tc>
        <w:tc>
          <w:tcPr>
            <w:tcW w:w="2662" w:type="pct"/>
            <w:shd w:val="clear" w:color="auto" w:fill="ED7D31" w:themeFill="accent2"/>
          </w:tcPr>
          <w:p w14:paraId="78B8CA64" w14:textId="375BDD8C" w:rsidR="00C82841" w:rsidRPr="0028537E" w:rsidRDefault="00C82841" w:rsidP="00D47AB3">
            <w:pPr>
              <w:pStyle w:val="NormalWeb"/>
              <w:spacing w:before="0" w:beforeAutospacing="0" w:after="0" w:afterAutospacing="0" w:line="256" w:lineRule="auto"/>
              <w:rPr>
                <w:rFonts w:ascii="Calibri" w:hAnsi="Calibri" w:cs="Calibri"/>
                <w:b/>
                <w:bCs/>
                <w:color w:val="FFFFFF" w:themeColor="light1"/>
                <w:kern w:val="24"/>
                <w:sz w:val="32"/>
                <w:szCs w:val="32"/>
              </w:rPr>
            </w:pPr>
            <w:r w:rsidRPr="0028537E">
              <w:rPr>
                <w:rFonts w:ascii="Calibri" w:hAnsi="Calibri" w:cs="Calibri"/>
                <w:b/>
                <w:bCs/>
                <w:color w:val="FFFFFF" w:themeColor="light1"/>
                <w:kern w:val="24"/>
                <w:sz w:val="32"/>
                <w:szCs w:val="32"/>
              </w:rPr>
              <w:t>Our Solutions</w:t>
            </w:r>
            <w:r>
              <w:rPr>
                <w:rFonts w:ascii="Calibri" w:hAnsi="Calibri" w:cs="Calibri"/>
                <w:b/>
                <w:bCs/>
                <w:color w:val="FFFFFF" w:themeColor="light1"/>
                <w:kern w:val="24"/>
                <w:sz w:val="32"/>
                <w:szCs w:val="32"/>
              </w:rPr>
              <w:t xml:space="preserve"> -</w:t>
            </w:r>
            <w:r w:rsidRPr="0028537E">
              <w:rPr>
                <w:rFonts w:ascii="Calibri" w:hAnsi="Calibri" w:cs="Calibri"/>
                <w:b/>
                <w:bCs/>
                <w:color w:val="FFFFFF" w:themeColor="light1"/>
                <w:kern w:val="24"/>
                <w:sz w:val="32"/>
                <w:szCs w:val="32"/>
              </w:rPr>
              <w:t xml:space="preserve"> Local Action</w:t>
            </w:r>
          </w:p>
        </w:tc>
      </w:tr>
      <w:tr w:rsidR="00C82841" w:rsidRPr="0046269B" w14:paraId="09AE2BF8" w14:textId="77777777" w:rsidTr="00D250AF">
        <w:tc>
          <w:tcPr>
            <w:tcW w:w="2338" w:type="pct"/>
          </w:tcPr>
          <w:p w14:paraId="2747FD4D" w14:textId="1C78A80F" w:rsidR="00C82841" w:rsidRPr="00115775" w:rsidRDefault="00C82841" w:rsidP="00D250AF">
            <w:pPr>
              <w:pStyle w:val="NormalWeb"/>
              <w:numPr>
                <w:ilvl w:val="0"/>
                <w:numId w:val="8"/>
              </w:numPr>
              <w:rPr>
                <w:rFonts w:asciiTheme="minorHAnsi" w:eastAsiaTheme="minorHAnsi" w:hAnsiTheme="minorHAnsi" w:cstheme="minorBidi"/>
                <w:sz w:val="22"/>
                <w:szCs w:val="22"/>
                <w:lang w:eastAsia="en-US"/>
              </w:rPr>
            </w:pPr>
            <w:r w:rsidRPr="00115775">
              <w:rPr>
                <w:rFonts w:asciiTheme="minorHAnsi" w:eastAsiaTheme="minorHAnsi" w:hAnsiTheme="minorHAnsi" w:cstheme="minorBidi"/>
                <w:sz w:val="22"/>
                <w:szCs w:val="22"/>
                <w:lang w:eastAsia="en-US"/>
              </w:rPr>
              <w:t>Increased investment in whole family wellbeing approaches in order to support increase in pace and depth of change required</w:t>
            </w:r>
            <w:r w:rsidR="00115775" w:rsidRPr="00115775">
              <w:rPr>
                <w:rFonts w:asciiTheme="minorHAnsi" w:eastAsiaTheme="minorHAnsi" w:hAnsiTheme="minorHAnsi" w:cstheme="minorBidi"/>
                <w:sz w:val="22"/>
                <w:szCs w:val="22"/>
                <w:lang w:eastAsia="en-US"/>
              </w:rPr>
              <w:t>. Clarity is required on what it is intended to achieve and underpinning information sharing/information governance across partners within CPPs.</w:t>
            </w:r>
          </w:p>
          <w:p w14:paraId="0FCD2AA6" w14:textId="77777777" w:rsidR="00C82841" w:rsidRPr="00D00056" w:rsidRDefault="00C82841" w:rsidP="00D250AF">
            <w:pPr>
              <w:pStyle w:val="ListParagraph"/>
              <w:numPr>
                <w:ilvl w:val="0"/>
                <w:numId w:val="8"/>
              </w:numPr>
            </w:pPr>
            <w:r w:rsidRPr="00D00056">
              <w:t>Funding should support partnership approaches, rather than focus on one service/sector.</w:t>
            </w:r>
          </w:p>
          <w:p w14:paraId="1B1E8535" w14:textId="77777777" w:rsidR="00C82841" w:rsidRPr="00E667A9" w:rsidRDefault="00C82841" w:rsidP="00D250AF">
            <w:pPr>
              <w:pStyle w:val="ListParagraph"/>
              <w:numPr>
                <w:ilvl w:val="0"/>
                <w:numId w:val="8"/>
              </w:numPr>
            </w:pPr>
            <w:r w:rsidRPr="00D00056">
              <w:t>A commitment is needed to sustainable funding for implementation of the Neurodevelopmental Pathways specification to ensure capacity is created across the whole system.</w:t>
            </w:r>
          </w:p>
          <w:p w14:paraId="417ECE0B" w14:textId="77777777" w:rsidR="00C82841" w:rsidRPr="00D00056" w:rsidRDefault="00C82841" w:rsidP="00D250AF">
            <w:pPr>
              <w:pStyle w:val="ListParagraph"/>
              <w:numPr>
                <w:ilvl w:val="0"/>
                <w:numId w:val="8"/>
              </w:numPr>
            </w:pPr>
            <w:r w:rsidRPr="00D00056">
              <w:t xml:space="preserve">Greater emphasis on targeting interventions on those families that need it most, rather than pursuing universal entitlements which are increasingly unaffordable. The compassion we afford to people in communities who do need help at </w:t>
            </w:r>
            <w:proofErr w:type="gramStart"/>
            <w:r w:rsidRPr="00D00056">
              <w:t>particular times</w:t>
            </w:r>
            <w:proofErr w:type="gramEnd"/>
            <w:r w:rsidRPr="00D00056">
              <w:t xml:space="preserve"> is critical, and more should be done to protect families from stigma.</w:t>
            </w:r>
          </w:p>
          <w:p w14:paraId="5458143F" w14:textId="77777777" w:rsidR="00C82841" w:rsidRDefault="00C82841" w:rsidP="00D250AF">
            <w:pPr>
              <w:pStyle w:val="ListParagraph"/>
              <w:numPr>
                <w:ilvl w:val="0"/>
                <w:numId w:val="8"/>
              </w:numPr>
            </w:pPr>
            <w:r w:rsidRPr="00D00056">
              <w:t>Scottish Government sho</w:t>
            </w:r>
            <w:r>
              <w:t>u</w:t>
            </w:r>
            <w:r w:rsidRPr="00D00056">
              <w:t>ld</w:t>
            </w:r>
            <w:r w:rsidRPr="00E667A9">
              <w:t xml:space="preserve"> set out expectations about ways of working that are more holistic and involve families/communities in being part of </w:t>
            </w:r>
            <w:proofErr w:type="gramStart"/>
            <w:r w:rsidRPr="00E667A9">
              <w:t>solutions</w:t>
            </w:r>
            <w:proofErr w:type="gramEnd"/>
          </w:p>
          <w:p w14:paraId="23E70C9C" w14:textId="4AED24F8" w:rsidR="00D250AF" w:rsidRPr="00C82841" w:rsidRDefault="00D250AF" w:rsidP="00D250AF">
            <w:pPr>
              <w:pStyle w:val="ListParagraph"/>
              <w:numPr>
                <w:ilvl w:val="0"/>
                <w:numId w:val="8"/>
              </w:numPr>
              <w:rPr>
                <w:highlight w:val="yellow"/>
              </w:rPr>
            </w:pPr>
            <w:r w:rsidRPr="00D250AF">
              <w:t>More focus is required on how to ensure legislation facilitates</w:t>
            </w:r>
            <w:r>
              <w:t xml:space="preserve"> </w:t>
            </w:r>
            <w:r w:rsidRPr="007509E5">
              <w:t>ethical commissioning for services to human beings, and a shift away from old-fashioned procurement and commissioning practices</w:t>
            </w:r>
            <w:r>
              <w:t xml:space="preserve"> - </w:t>
            </w:r>
            <w:hyperlink r:id="rId16" w:history="1">
              <w:r w:rsidRPr="002C51FE">
                <w:rPr>
                  <w:rStyle w:val="Hyperlink"/>
                </w:rPr>
                <w:t>https://spice-spotlight.scot/2022/08/12/what-is-ethical-commissioning-and-why-does-it-matter/</w:t>
              </w:r>
            </w:hyperlink>
            <w:r>
              <w:t xml:space="preserve"> </w:t>
            </w:r>
          </w:p>
          <w:p w14:paraId="0A66C6D8" w14:textId="77777777" w:rsidR="00D250AF" w:rsidRPr="00E667A9" w:rsidRDefault="00D250AF" w:rsidP="00D250AF">
            <w:pPr>
              <w:pStyle w:val="ListParagraph"/>
              <w:ind w:left="360"/>
            </w:pPr>
          </w:p>
          <w:p w14:paraId="520DA43B" w14:textId="77777777" w:rsidR="00C82841" w:rsidRPr="0046269B" w:rsidRDefault="00C82841" w:rsidP="00D47AB3"/>
        </w:tc>
        <w:tc>
          <w:tcPr>
            <w:tcW w:w="2662" w:type="pct"/>
          </w:tcPr>
          <w:p w14:paraId="7062421F" w14:textId="187FDDD6" w:rsidR="00C82841" w:rsidRPr="007509E5" w:rsidRDefault="00C82841" w:rsidP="00C82841">
            <w:pPr>
              <w:pStyle w:val="ListParagraph"/>
              <w:numPr>
                <w:ilvl w:val="0"/>
                <w:numId w:val="9"/>
              </w:numPr>
            </w:pPr>
            <w:r w:rsidRPr="007509E5">
              <w:t xml:space="preserve">Ensure Whole Family Wellbeing funding reaches </w:t>
            </w:r>
            <w:r>
              <w:t>beyond</w:t>
            </w:r>
            <w:r w:rsidRPr="007509E5">
              <w:t xml:space="preserve"> Local Government and into community settings, and towards solutions that are ‘real-lived’, and not </w:t>
            </w:r>
            <w:r>
              <w:t xml:space="preserve">only </w:t>
            </w:r>
            <w:r w:rsidRPr="007509E5">
              <w:t>statutory</w:t>
            </w:r>
            <w:r>
              <w:t xml:space="preserve"> interventions.</w:t>
            </w:r>
          </w:p>
          <w:p w14:paraId="048FA58A" w14:textId="77777777" w:rsidR="00C82841" w:rsidRPr="007509E5" w:rsidRDefault="00C82841" w:rsidP="00C82841">
            <w:pPr>
              <w:pStyle w:val="ListParagraph"/>
              <w:numPr>
                <w:ilvl w:val="0"/>
                <w:numId w:val="9"/>
              </w:numPr>
            </w:pPr>
            <w:r w:rsidRPr="007509E5">
              <w:t xml:space="preserve">Utilise the collective role of the Community Planning Partnership to </w:t>
            </w:r>
            <w:r>
              <w:t xml:space="preserve">deliver </w:t>
            </w:r>
            <w:r w:rsidRPr="007509E5">
              <w:t>strategic funding decisions (particularly re statutory partners)</w:t>
            </w:r>
          </w:p>
          <w:p w14:paraId="15CE3F6E" w14:textId="4A19A8BE" w:rsidR="00C82841" w:rsidRPr="007509E5" w:rsidRDefault="00C82841" w:rsidP="00810BCD">
            <w:pPr>
              <w:pStyle w:val="ListParagraph"/>
              <w:numPr>
                <w:ilvl w:val="0"/>
                <w:numId w:val="9"/>
              </w:numPr>
              <w:spacing w:after="160" w:line="259" w:lineRule="auto"/>
            </w:pPr>
            <w:r w:rsidRPr="007509E5">
              <w:t>Partnerships have a key role to play in supporting ‘alternative school models’</w:t>
            </w:r>
            <w:r>
              <w:t xml:space="preserve"> accepting</w:t>
            </w:r>
            <w:r w:rsidRPr="007509E5">
              <w:t xml:space="preserve"> that ‘school is not for everyone’ and that approaches involving the third sector/ and or alternative school models that use meaningful work experience options need to be in place to respond quickly to needs emerging.</w:t>
            </w:r>
            <w:r w:rsidR="00810BCD">
              <w:t xml:space="preserve"> </w:t>
            </w:r>
            <w:r w:rsidR="00810BCD" w:rsidRPr="00810BCD">
              <w:t xml:space="preserve">CPPs should support Education/Social work departments to work with out of school settings like social enterprises to ensure the care, H&amp;S, insurance and support is in place as for a relatively small cost this can provide transformational change. </w:t>
            </w:r>
          </w:p>
          <w:p w14:paraId="2FCAB15A" w14:textId="784FB7D4" w:rsidR="00C82841" w:rsidRDefault="00C82841" w:rsidP="00C82841">
            <w:pPr>
              <w:pStyle w:val="ListParagraph"/>
              <w:numPr>
                <w:ilvl w:val="0"/>
                <w:numId w:val="9"/>
              </w:numPr>
            </w:pPr>
            <w:r>
              <w:t>CPIB/CPPs have a leadership role in relation to promoting the long-term and gradual nature of generational change and raising awareness of the evidence base around this (</w:t>
            </w:r>
            <w:proofErr w:type="gramStart"/>
            <w:r>
              <w:t>e.g.</w:t>
            </w:r>
            <w:proofErr w:type="gramEnd"/>
            <w:r>
              <w:t xml:space="preserve"> early years/prosperity in life, impacts of generational poverty).  It is important that the public and politicians understand that change will not happen in one budget/electoral cycle and have the confidence to be bold and commit to approaches over the longer term.  </w:t>
            </w:r>
          </w:p>
          <w:p w14:paraId="0E0284BE" w14:textId="77777777" w:rsidR="00C82841" w:rsidRDefault="00C82841" w:rsidP="00C82841">
            <w:pPr>
              <w:pStyle w:val="ListParagraph"/>
              <w:numPr>
                <w:ilvl w:val="0"/>
                <w:numId w:val="9"/>
              </w:numPr>
            </w:pPr>
            <w:r>
              <w:t>CPPs should give greater emphasis to building trust amongst professionals, promoting parity of esteem and mutual respect for the contribution of all partners, including the Third sector.  This will encourage greater joining up between partners, including better information-sharing.</w:t>
            </w:r>
          </w:p>
          <w:p w14:paraId="6DCE1760" w14:textId="77777777" w:rsidR="00C82841" w:rsidRDefault="00C82841" w:rsidP="00D47AB3">
            <w:pPr>
              <w:pStyle w:val="ListParagraph"/>
              <w:ind w:left="360"/>
            </w:pPr>
          </w:p>
          <w:p w14:paraId="1663B1F1" w14:textId="77777777" w:rsidR="00C82841" w:rsidRPr="0046269B" w:rsidRDefault="00C82841" w:rsidP="00D47AB3"/>
        </w:tc>
      </w:tr>
    </w:tbl>
    <w:p w14:paraId="1A99FB24" w14:textId="76CED9EB" w:rsidR="00C82841" w:rsidRDefault="00C82841"/>
    <w:p w14:paraId="788AFC89" w14:textId="070710D4" w:rsidR="000F3929" w:rsidRDefault="000F3929"/>
    <w:p w14:paraId="652A21BF" w14:textId="77777777" w:rsidR="00515918" w:rsidRDefault="00515918" w:rsidP="000F3929">
      <w:pPr>
        <w:pStyle w:val="Heading1"/>
      </w:pPr>
      <w:r>
        <w:br w:type="page"/>
      </w:r>
    </w:p>
    <w:p w14:paraId="351D4EA3" w14:textId="04F925C1" w:rsidR="000F3929" w:rsidRDefault="000F3929" w:rsidP="000F3929">
      <w:pPr>
        <w:pStyle w:val="Heading1"/>
      </w:pPr>
      <w:r>
        <w:lastRenderedPageBreak/>
        <w:t>Theme 3: Complexity and Fragmentation of multiple different funding streams</w:t>
      </w:r>
    </w:p>
    <w:p w14:paraId="6AEF2E04" w14:textId="77777777" w:rsidR="000F3929" w:rsidRPr="000F3929" w:rsidRDefault="000F3929" w:rsidP="000F3929"/>
    <w:p w14:paraId="19CCDCBC" w14:textId="055FF215" w:rsidR="000F3929" w:rsidRPr="000F3929" w:rsidRDefault="000F3929">
      <w:pPr>
        <w:rPr>
          <w:b/>
          <w:bCs/>
        </w:rPr>
      </w:pPr>
      <w:r w:rsidRPr="000F3929">
        <w:rPr>
          <w:b/>
          <w:bCs/>
        </w:rPr>
        <w:t>Barriers we focussed on</w:t>
      </w:r>
    </w:p>
    <w:p w14:paraId="3B28EDEA" w14:textId="77777777" w:rsidR="000F3929" w:rsidRPr="00FF561A" w:rsidRDefault="000F3929" w:rsidP="000F3929">
      <w:pPr>
        <w:pStyle w:val="ListParagraph"/>
        <w:numPr>
          <w:ilvl w:val="0"/>
          <w:numId w:val="10"/>
        </w:numPr>
        <w:spacing w:after="0" w:line="240" w:lineRule="auto"/>
      </w:pPr>
      <w:r w:rsidRPr="00FF561A">
        <w:t>Lack of interaction/alignment between existing funding streams</w:t>
      </w:r>
      <w:r>
        <w:t xml:space="preserve"> </w:t>
      </w:r>
      <w:r w:rsidRPr="00FF561A">
        <w:t>with funding pulling in different directions and not supporting a holistic focus on that person/family in the centre</w:t>
      </w:r>
    </w:p>
    <w:p w14:paraId="2C3C0C77" w14:textId="77777777" w:rsidR="000F3929" w:rsidRPr="00FF561A" w:rsidRDefault="000F3929" w:rsidP="000F3929">
      <w:pPr>
        <w:pStyle w:val="ListParagraph"/>
        <w:numPr>
          <w:ilvl w:val="0"/>
          <w:numId w:val="10"/>
        </w:numPr>
        <w:spacing w:after="0" w:line="240" w:lineRule="auto"/>
      </w:pPr>
      <w:r w:rsidRPr="00FF561A">
        <w:t xml:space="preserve">Significant ring fencing/delineation of budgets, with insufficient local flexibilities to support partnerships to focus on local priorities </w:t>
      </w:r>
    </w:p>
    <w:p w14:paraId="16B6FEA2" w14:textId="77777777" w:rsidR="000F3929" w:rsidRPr="00FF561A" w:rsidRDefault="000F3929" w:rsidP="000F3929">
      <w:pPr>
        <w:pStyle w:val="ListParagraph"/>
        <w:numPr>
          <w:ilvl w:val="0"/>
          <w:numId w:val="10"/>
        </w:numPr>
        <w:spacing w:after="0" w:line="240" w:lineRule="auto"/>
      </w:pPr>
      <w:r w:rsidRPr="00FF561A">
        <w:t xml:space="preserve">Scale and implementation of Whole Family Wellbeing fund undermines ‘whole system’ ambition </w:t>
      </w:r>
    </w:p>
    <w:p w14:paraId="055358AF" w14:textId="77777777" w:rsidR="000F3929" w:rsidRPr="00FF561A" w:rsidRDefault="000F3929" w:rsidP="000F3929">
      <w:pPr>
        <w:pStyle w:val="ListParagraph"/>
        <w:numPr>
          <w:ilvl w:val="0"/>
          <w:numId w:val="10"/>
        </w:numPr>
        <w:spacing w:after="0" w:line="240" w:lineRule="auto"/>
      </w:pPr>
      <w:r w:rsidRPr="00FF561A">
        <w:t>Greater flexibility needed in existing funding</w:t>
      </w:r>
    </w:p>
    <w:p w14:paraId="697DDE28" w14:textId="77777777" w:rsidR="000F3929" w:rsidRPr="00FF561A" w:rsidRDefault="000F3929" w:rsidP="000F3929">
      <w:pPr>
        <w:pStyle w:val="ListParagraph"/>
        <w:numPr>
          <w:ilvl w:val="0"/>
          <w:numId w:val="10"/>
        </w:numPr>
        <w:spacing w:after="0" w:line="240" w:lineRule="auto"/>
      </w:pPr>
      <w:r w:rsidRPr="00FF561A">
        <w:t xml:space="preserve">Opportunities for </w:t>
      </w:r>
      <w:r>
        <w:t>CPPs</w:t>
      </w:r>
      <w:r w:rsidRPr="00FF561A">
        <w:t xml:space="preserve"> to strengthen local approaches to joint funding/prioritisation are not being realised (WFWF; Trauma informed funding; etc etc)</w:t>
      </w:r>
    </w:p>
    <w:p w14:paraId="4CD6B445" w14:textId="202CEF24" w:rsidR="000F3929" w:rsidRDefault="000F3929"/>
    <w:p w14:paraId="247079C7" w14:textId="77777777" w:rsidR="000F3929" w:rsidRPr="000F3929" w:rsidRDefault="000F3929" w:rsidP="000F3929">
      <w:pPr>
        <w:rPr>
          <w:b/>
          <w:bCs/>
        </w:rPr>
      </w:pPr>
      <w:r w:rsidRPr="000F3929">
        <w:rPr>
          <w:b/>
          <w:bCs/>
        </w:rPr>
        <w:t>What evidence or examples can we share re these barriers and the problems they are creating, and where we are seeing good practice/progress</w:t>
      </w:r>
    </w:p>
    <w:p w14:paraId="37D8F3E6" w14:textId="79BB65B1" w:rsidR="000F3929" w:rsidRPr="000F3929" w:rsidRDefault="000F3929" w:rsidP="00515918">
      <w:pPr>
        <w:pStyle w:val="ListParagraph"/>
        <w:numPr>
          <w:ilvl w:val="0"/>
          <w:numId w:val="19"/>
        </w:numPr>
      </w:pPr>
      <w:r w:rsidRPr="000F3929">
        <w:t xml:space="preserve">Scale &amp; implementation of Whole Family Wellbeing fund undermines ‘whole system’ ambition </w:t>
      </w:r>
    </w:p>
    <w:p w14:paraId="1911A283" w14:textId="77777777" w:rsidR="000F3929" w:rsidRPr="00FF561A" w:rsidRDefault="000F3929" w:rsidP="00515918">
      <w:pPr>
        <w:pStyle w:val="ListParagraph"/>
        <w:numPr>
          <w:ilvl w:val="1"/>
          <w:numId w:val="19"/>
        </w:numPr>
      </w:pPr>
      <w:r w:rsidRPr="00FF561A">
        <w:t>Scale: e.g. £1M each year WFWF in a ‘system’ which currently spends £100M+ on education;</w:t>
      </w:r>
    </w:p>
    <w:p w14:paraId="54943AE7" w14:textId="77777777" w:rsidR="000F3929" w:rsidRPr="00632013" w:rsidRDefault="000F3929" w:rsidP="00515918">
      <w:pPr>
        <w:pStyle w:val="ListParagraph"/>
        <w:numPr>
          <w:ilvl w:val="1"/>
          <w:numId w:val="19"/>
        </w:numPr>
      </w:pPr>
      <w:r w:rsidRPr="00FF561A">
        <w:t>Implementation: inconsistent engagement with TSIs regarding WFWF</w:t>
      </w:r>
    </w:p>
    <w:bookmarkStart w:id="1" w:name="_MON_1744983193"/>
    <w:bookmarkEnd w:id="1"/>
    <w:p w14:paraId="55A49C6A" w14:textId="77777777" w:rsidR="000F3929" w:rsidRDefault="008D597D" w:rsidP="00515918">
      <w:pPr>
        <w:pStyle w:val="ListParagraph"/>
      </w:pPr>
      <w:r>
        <w:rPr>
          <w:noProof/>
        </w:rPr>
      </w:r>
      <w:r w:rsidR="008D597D">
        <w:rPr>
          <w:noProof/>
        </w:rPr>
        <w:object w:dxaOrig="1534" w:dyaOrig="997" w14:anchorId="2E5C4283">
          <v:shape id="_x0000_i1026" type="#_x0000_t75" alt="" style="width:76pt;height:50pt;mso-width-percent:0;mso-height-percent:0;mso-width-percent:0;mso-height-percent:0" o:ole="">
            <v:imagedata r:id="rId17" o:title=""/>
          </v:shape>
          <o:OLEObject Type="Embed" ProgID="Word.Document.12" ShapeID="_x0000_i1026" DrawAspect="Icon" ObjectID="_1745997462" r:id="rId18">
            <o:FieldCodes>\s</o:FieldCodes>
          </o:OLEObject>
        </w:object>
      </w:r>
    </w:p>
    <w:p w14:paraId="271168F3" w14:textId="77777777" w:rsidR="000F3929" w:rsidRPr="00FF561A" w:rsidRDefault="000F3929" w:rsidP="000F3929">
      <w:pPr>
        <w:pStyle w:val="ListParagraph"/>
        <w:ind w:left="360"/>
      </w:pPr>
    </w:p>
    <w:p w14:paraId="61F3EEF8" w14:textId="77777777" w:rsidR="000F3929" w:rsidRPr="000F3929" w:rsidRDefault="000F3929" w:rsidP="00515918">
      <w:pPr>
        <w:pStyle w:val="ListParagraph"/>
        <w:numPr>
          <w:ilvl w:val="0"/>
          <w:numId w:val="19"/>
        </w:numPr>
        <w:spacing w:after="0" w:line="240" w:lineRule="auto"/>
      </w:pPr>
      <w:r w:rsidRPr="000F3929">
        <w:t xml:space="preserve">DFM Letter to COSLA President re ‘New Deal between SG &amp; LG’ </w:t>
      </w:r>
    </w:p>
    <w:p w14:paraId="66237EE0" w14:textId="6752C418" w:rsidR="000F3929" w:rsidRPr="000F3929" w:rsidRDefault="000F3929" w:rsidP="00515918">
      <w:pPr>
        <w:pStyle w:val="ListParagraph"/>
        <w:rPr>
          <w:i/>
          <w:iCs/>
        </w:rPr>
      </w:pPr>
      <w:r w:rsidRPr="000F3929">
        <w:rPr>
          <w:i/>
          <w:iCs/>
        </w:rPr>
        <w:t>“The Scottish Government is committed to building trust and maximising benefits for our citizens and communities. We will act to:</w:t>
      </w:r>
    </w:p>
    <w:p w14:paraId="7AC74EF5" w14:textId="29A14316" w:rsidR="000F3929" w:rsidRPr="000F3929" w:rsidRDefault="000F3929" w:rsidP="00515918">
      <w:pPr>
        <w:pStyle w:val="ListParagraph"/>
        <w:numPr>
          <w:ilvl w:val="0"/>
          <w:numId w:val="20"/>
        </w:numPr>
        <w:rPr>
          <w:i/>
          <w:iCs/>
        </w:rPr>
      </w:pPr>
      <w:r w:rsidRPr="000F3929">
        <w:rPr>
          <w:i/>
          <w:iCs/>
        </w:rPr>
        <w:t>align budgets to maximise impact on outcomes;</w:t>
      </w:r>
    </w:p>
    <w:p w14:paraId="4B2D094F" w14:textId="2A977B8F" w:rsidR="000F3929" w:rsidRPr="000F3929" w:rsidRDefault="000F3929" w:rsidP="00515918">
      <w:pPr>
        <w:pStyle w:val="ListParagraph"/>
        <w:numPr>
          <w:ilvl w:val="0"/>
          <w:numId w:val="20"/>
        </w:numPr>
        <w:rPr>
          <w:i/>
          <w:iCs/>
        </w:rPr>
      </w:pPr>
      <w:r w:rsidRPr="000F3929">
        <w:rPr>
          <w:i/>
          <w:iCs/>
        </w:rPr>
        <w:t>remove barriers which hinder flexibility in funding, and in the design and delivery of services around people, helping to embed the service changes flowing from this;</w:t>
      </w:r>
    </w:p>
    <w:p w14:paraId="19CB02BA" w14:textId="106BEB41" w:rsidR="000F3929" w:rsidRPr="000F3929" w:rsidRDefault="000F3929" w:rsidP="00515918">
      <w:pPr>
        <w:pStyle w:val="ListParagraph"/>
        <w:numPr>
          <w:ilvl w:val="0"/>
          <w:numId w:val="20"/>
        </w:numPr>
        <w:rPr>
          <w:i/>
          <w:iCs/>
        </w:rPr>
      </w:pPr>
      <w:r w:rsidRPr="000F3929">
        <w:rPr>
          <w:i/>
          <w:iCs/>
        </w:rPr>
        <w:t>require our partner public bodies and agencies to work collaboratively within CPPs to deliver shared outcomes, take action to address local priorities and align local funding, this will be supported by our Place Director network; and</w:t>
      </w:r>
    </w:p>
    <w:p w14:paraId="1C346A0C" w14:textId="172CC8F9" w:rsidR="000F3929" w:rsidRPr="000F3929" w:rsidRDefault="000F3929" w:rsidP="00515918">
      <w:pPr>
        <w:pStyle w:val="ListParagraph"/>
        <w:numPr>
          <w:ilvl w:val="0"/>
          <w:numId w:val="20"/>
        </w:numPr>
        <w:rPr>
          <w:i/>
          <w:iCs/>
        </w:rPr>
      </w:pPr>
      <w:r w:rsidRPr="000F3929">
        <w:rPr>
          <w:i/>
          <w:iCs/>
        </w:rPr>
        <w:t>enable third sector partners to participate and contribute in local plans, including through flexible funding.</w:t>
      </w:r>
    </w:p>
    <w:p w14:paraId="21D504FC" w14:textId="2C26C051" w:rsidR="000F3929" w:rsidRPr="000F3929" w:rsidRDefault="000F3929" w:rsidP="000F3929">
      <w:pPr>
        <w:pStyle w:val="ListParagraph"/>
        <w:ind w:left="360" w:firstLine="45"/>
        <w:rPr>
          <w:i/>
          <w:iCs/>
        </w:rPr>
      </w:pPr>
    </w:p>
    <w:p w14:paraId="042CFAFC" w14:textId="77777777" w:rsidR="000F3929" w:rsidRPr="000F3929" w:rsidRDefault="000F3929" w:rsidP="00515918">
      <w:pPr>
        <w:pStyle w:val="ListParagraph"/>
        <w:numPr>
          <w:ilvl w:val="0"/>
          <w:numId w:val="21"/>
        </w:numPr>
        <w:rPr>
          <w:i/>
          <w:iCs/>
        </w:rPr>
      </w:pPr>
      <w:r w:rsidRPr="000F3929">
        <w:rPr>
          <w:i/>
          <w:iCs/>
        </w:rPr>
        <w:t>Local authorities are key partners in this endeavour. Through COSLA, we will invite local authorities to work with us to:</w:t>
      </w:r>
    </w:p>
    <w:p w14:paraId="4CA55B4E" w14:textId="65AC9E51" w:rsidR="000F3929" w:rsidRPr="000F3929" w:rsidRDefault="000F3929" w:rsidP="00515918">
      <w:pPr>
        <w:pStyle w:val="ListParagraph"/>
        <w:numPr>
          <w:ilvl w:val="0"/>
          <w:numId w:val="21"/>
        </w:numPr>
        <w:rPr>
          <w:i/>
          <w:iCs/>
        </w:rPr>
      </w:pPr>
      <w:r w:rsidRPr="000F3929">
        <w:rPr>
          <w:i/>
          <w:iCs/>
        </w:rPr>
        <w:t>prioritise spending to agreed key outcomes for which we are jointly accountable,</w:t>
      </w:r>
    </w:p>
    <w:p w14:paraId="7EAC9D4B" w14:textId="77777777" w:rsidR="000F3929" w:rsidRPr="000F3929" w:rsidRDefault="000F3929" w:rsidP="00515918">
      <w:pPr>
        <w:pStyle w:val="ListParagraph"/>
        <w:numPr>
          <w:ilvl w:val="0"/>
          <w:numId w:val="21"/>
        </w:numPr>
        <w:rPr>
          <w:i/>
          <w:iCs/>
        </w:rPr>
      </w:pPr>
      <w:r w:rsidRPr="000F3929">
        <w:rPr>
          <w:i/>
          <w:iCs/>
        </w:rPr>
        <w:t>with clarity as to the way in which we will work together to secure and measure success;</w:t>
      </w:r>
    </w:p>
    <w:p w14:paraId="3F1B3DE8" w14:textId="2A4280CA" w:rsidR="000F3929" w:rsidRPr="000F3929" w:rsidRDefault="000F3929" w:rsidP="00515918">
      <w:pPr>
        <w:pStyle w:val="ListParagraph"/>
        <w:numPr>
          <w:ilvl w:val="0"/>
          <w:numId w:val="21"/>
        </w:numPr>
        <w:rPr>
          <w:i/>
          <w:iCs/>
        </w:rPr>
      </w:pPr>
      <w:r w:rsidRPr="000F3929">
        <w:rPr>
          <w:i/>
          <w:iCs/>
        </w:rPr>
        <w:t>ensure that joint plans of activity across CPPs can deliver those outcomes in a way which reflects the needs of a local communities, and to robustly account for delivery of these plans;</w:t>
      </w:r>
    </w:p>
    <w:p w14:paraId="1322CA45" w14:textId="5453866B" w:rsidR="000F3929" w:rsidRPr="000F3929" w:rsidRDefault="000F3929" w:rsidP="00515918">
      <w:pPr>
        <w:pStyle w:val="ListParagraph"/>
        <w:numPr>
          <w:ilvl w:val="0"/>
          <w:numId w:val="21"/>
        </w:numPr>
        <w:rPr>
          <w:i/>
          <w:iCs/>
        </w:rPr>
      </w:pPr>
      <w:r w:rsidRPr="000F3929">
        <w:rPr>
          <w:i/>
          <w:iCs/>
        </w:rPr>
        <w:t>share resources across CPPs to deliver these activities in whatever way is most effective; and</w:t>
      </w:r>
    </w:p>
    <w:p w14:paraId="38B67C81" w14:textId="432A3EAF" w:rsidR="000F3929" w:rsidRPr="000F3929" w:rsidRDefault="000F3929" w:rsidP="00515918">
      <w:pPr>
        <w:pStyle w:val="ListParagraph"/>
        <w:numPr>
          <w:ilvl w:val="0"/>
          <w:numId w:val="21"/>
        </w:numPr>
        <w:rPr>
          <w:i/>
          <w:iCs/>
        </w:rPr>
      </w:pPr>
      <w:r w:rsidRPr="000F3929">
        <w:rPr>
          <w:i/>
          <w:iCs/>
        </w:rPr>
        <w:t xml:space="preserve">continue to share and learn from best practice nationally and locally to embed person-centred approaches that work for individuals and </w:t>
      </w:r>
      <w:proofErr w:type="gramStart"/>
      <w:r w:rsidRPr="000F3929">
        <w:rPr>
          <w:i/>
          <w:iCs/>
        </w:rPr>
        <w:t>communities, and</w:t>
      </w:r>
      <w:proofErr w:type="gramEnd"/>
      <w:r w:rsidRPr="000F3929">
        <w:rPr>
          <w:i/>
          <w:iCs/>
        </w:rPr>
        <w:t xml:space="preserve"> reduce barriers and duplication in our joint systems.”</w:t>
      </w:r>
    </w:p>
    <w:p w14:paraId="4BD3269F" w14:textId="77777777" w:rsidR="000F3929" w:rsidRPr="00FF561A" w:rsidRDefault="000F3929" w:rsidP="000F3929">
      <w:pPr>
        <w:pStyle w:val="ListParagraph"/>
        <w:ind w:left="360"/>
      </w:pPr>
    </w:p>
    <w:p w14:paraId="35A20ADA" w14:textId="36D9498F" w:rsidR="000F3929" w:rsidRDefault="000F3929" w:rsidP="000F3929">
      <w:pPr>
        <w:pStyle w:val="ListParagraph"/>
        <w:numPr>
          <w:ilvl w:val="0"/>
          <w:numId w:val="19"/>
        </w:numPr>
      </w:pPr>
      <w:r w:rsidRPr="000F3929">
        <w:lastRenderedPageBreak/>
        <w:t>Lack of alignment in current funding models</w:t>
      </w:r>
      <w:r>
        <w:t>.  Example in Child Poverty agenda can be seen in funding for Whole Family Wellbeing, Summer of Fun &amp; Holiday Activity, Parental Employability are not aligned, but are core sources of Scottish Government funding.  What impact does the recent funding to Councils for Parental Employment Support (PES) have on the future of further youth unemployment supports and Community Jobs Scotland? To what extent is funding for family learning and youth work aligned?</w:t>
      </w:r>
    </w:p>
    <w:p w14:paraId="48E7C1C6" w14:textId="77777777" w:rsidR="00515918" w:rsidRDefault="00515918" w:rsidP="00515918">
      <w:pPr>
        <w:pStyle w:val="ListParagraph"/>
        <w:spacing w:after="0" w:line="240" w:lineRule="auto"/>
      </w:pPr>
    </w:p>
    <w:p w14:paraId="184B9100" w14:textId="78C6140F" w:rsidR="00515918" w:rsidRDefault="000F3929" w:rsidP="00515918">
      <w:pPr>
        <w:pStyle w:val="ListParagraph"/>
        <w:numPr>
          <w:ilvl w:val="0"/>
          <w:numId w:val="19"/>
        </w:numPr>
      </w:pPr>
      <w:r w:rsidRPr="000F3929">
        <w:t xml:space="preserve">Greater Flexibility </w:t>
      </w:r>
      <w:r>
        <w:t xml:space="preserve">required </w:t>
      </w:r>
      <w:r w:rsidRPr="000F3929">
        <w:t>in funding models</w:t>
      </w:r>
      <w:r>
        <w:t>. Example:</w:t>
      </w:r>
      <w:r w:rsidRPr="00FF561A">
        <w:t xml:space="preserve"> how can Attainment Fund be used for YP beyond school recognising the cliff face for YP leaving/not attending school and lack of capacity within CAMHS/Adult Services</w:t>
      </w:r>
    </w:p>
    <w:p w14:paraId="2D5F45EB" w14:textId="77777777" w:rsidR="00515918" w:rsidRDefault="00515918" w:rsidP="00515918">
      <w:pPr>
        <w:pStyle w:val="ListParagraph"/>
      </w:pPr>
    </w:p>
    <w:p w14:paraId="7BB6D58B" w14:textId="77777777" w:rsidR="00515918" w:rsidRDefault="000F3929" w:rsidP="00515918">
      <w:pPr>
        <w:pStyle w:val="ListParagraph"/>
        <w:numPr>
          <w:ilvl w:val="0"/>
          <w:numId w:val="19"/>
        </w:numPr>
      </w:pPr>
      <w:r w:rsidRPr="000F3929">
        <w:t xml:space="preserve">Opportunities for greater CPP joint funding/prioritisation: Whole Family Wellbeing Fund &amp; Trauma Informed funding, etc </w:t>
      </w:r>
      <w:proofErr w:type="spellStart"/>
      <w:r w:rsidRPr="000F3929">
        <w:t>etc</w:t>
      </w:r>
      <w:proofErr w:type="spellEnd"/>
    </w:p>
    <w:p w14:paraId="302B25BD" w14:textId="77777777" w:rsidR="00515918" w:rsidRDefault="00515918" w:rsidP="00515918">
      <w:pPr>
        <w:pStyle w:val="ListParagraph"/>
      </w:pPr>
    </w:p>
    <w:p w14:paraId="0B9E3D8B" w14:textId="0A962F73" w:rsidR="000F3929" w:rsidRDefault="000F3929" w:rsidP="00515918">
      <w:pPr>
        <w:pStyle w:val="ListParagraph"/>
        <w:numPr>
          <w:ilvl w:val="0"/>
          <w:numId w:val="19"/>
        </w:numPr>
      </w:pPr>
      <w:r w:rsidRPr="000F3929">
        <w:t>Funding for external community-based provision.</w:t>
      </w:r>
      <w:r w:rsidRPr="00515918">
        <w:rPr>
          <w:b/>
          <w:bCs/>
        </w:rPr>
        <w:t xml:space="preserve"> </w:t>
      </w:r>
      <w:r>
        <w:t>Example: People struggling with mental health issues from a younger age must know that there are ways back into wellbeing options.  Young people who are non-attenders are not going to access the wellbeing offers being put in place by schools. Other forms of external community-based provision are needed to allow young people and families to find alternative ways to solve mental health issues. The proposed Community Link Workers for all ages attached to GP surgeries (Primary Care Community Wellbeing Fund is proposed for but not been confirmed yet – was due to be released last year but not confirmed yet could be key to this.) It will allow community-based workers to find community solutions for young people that may not be finding the solutions and support in schools or through CAMHS due to waiting lists.</w:t>
      </w:r>
    </w:p>
    <w:p w14:paraId="29C335A1" w14:textId="77777777" w:rsidR="00515918" w:rsidRDefault="00515918" w:rsidP="00515918">
      <w:pPr>
        <w:pStyle w:val="ListParagraph"/>
      </w:pPr>
    </w:p>
    <w:p w14:paraId="50ABA462" w14:textId="08D84F55" w:rsidR="000F3929" w:rsidRDefault="008D597D" w:rsidP="00515918">
      <w:pPr>
        <w:pStyle w:val="ListParagraph"/>
        <w:numPr>
          <w:ilvl w:val="0"/>
          <w:numId w:val="19"/>
        </w:numPr>
      </w:pPr>
      <w:hyperlink r:id="rId19" w:history="1">
        <w:r w:rsidR="000F3929" w:rsidRPr="00516119">
          <w:rPr>
            <w:rStyle w:val="Hyperlink"/>
          </w:rPr>
          <w:t>Principles of Positive Partnerships</w:t>
        </w:r>
      </w:hyperlink>
      <w:r w:rsidR="000F3929">
        <w:t>: Evaluation Support Scotland has published guidance to support positive funding relationships between Scottish Government and third sector grant holders in order to achieve positive outcomes for the people of Scotland.</w:t>
      </w:r>
    </w:p>
    <w:p w14:paraId="63CE27DB" w14:textId="77777777" w:rsidR="000F3929" w:rsidRDefault="000F3929" w:rsidP="000F3929">
      <w:pPr>
        <w:pStyle w:val="ListParagraph"/>
      </w:pPr>
    </w:p>
    <w:tbl>
      <w:tblPr>
        <w:tblStyle w:val="TableGrid"/>
        <w:tblW w:w="5460" w:type="pct"/>
        <w:tblInd w:w="-431" w:type="dxa"/>
        <w:tblLook w:val="04A0" w:firstRow="1" w:lastRow="0" w:firstColumn="1" w:lastColumn="0" w:noHBand="0" w:noVBand="1"/>
      </w:tblPr>
      <w:tblGrid>
        <w:gridCol w:w="5390"/>
        <w:gridCol w:w="5242"/>
      </w:tblGrid>
      <w:tr w:rsidR="000F3929" w:rsidRPr="0028537E" w14:paraId="1C43BFE3" w14:textId="77777777" w:rsidTr="00515918">
        <w:tc>
          <w:tcPr>
            <w:tcW w:w="2535" w:type="pct"/>
            <w:shd w:val="clear" w:color="auto" w:fill="ED7D31" w:themeFill="accent2"/>
            <w:vAlign w:val="center"/>
          </w:tcPr>
          <w:p w14:paraId="48ABC8A3" w14:textId="3C010909" w:rsidR="000F3929" w:rsidRPr="0028537E" w:rsidRDefault="000F3929" w:rsidP="00D47AB3">
            <w:pPr>
              <w:pStyle w:val="NormalWeb"/>
              <w:spacing w:before="0" w:beforeAutospacing="0" w:after="0" w:afterAutospacing="0" w:line="256" w:lineRule="auto"/>
              <w:rPr>
                <w:rFonts w:ascii="Arial" w:hAnsi="Arial" w:cs="Arial"/>
                <w:sz w:val="32"/>
                <w:szCs w:val="32"/>
              </w:rPr>
            </w:pPr>
            <w:r w:rsidRPr="0028537E">
              <w:rPr>
                <w:rFonts w:ascii="Calibri" w:hAnsi="Calibri" w:cs="Calibri"/>
                <w:b/>
                <w:bCs/>
                <w:color w:val="FFFFFF" w:themeColor="light1"/>
                <w:kern w:val="24"/>
                <w:sz w:val="32"/>
                <w:szCs w:val="32"/>
              </w:rPr>
              <w:t>Our Solutions</w:t>
            </w:r>
            <w:r>
              <w:rPr>
                <w:rFonts w:ascii="Calibri" w:hAnsi="Calibri" w:cs="Calibri"/>
                <w:b/>
                <w:bCs/>
                <w:color w:val="FFFFFF" w:themeColor="light1"/>
                <w:kern w:val="24"/>
                <w:sz w:val="32"/>
                <w:szCs w:val="32"/>
              </w:rPr>
              <w:t xml:space="preserve"> </w:t>
            </w:r>
            <w:r w:rsidR="00515918">
              <w:rPr>
                <w:rFonts w:ascii="Calibri" w:hAnsi="Calibri" w:cs="Calibri"/>
                <w:b/>
                <w:bCs/>
                <w:color w:val="FFFFFF" w:themeColor="light1"/>
                <w:kern w:val="24"/>
                <w:sz w:val="32"/>
                <w:szCs w:val="32"/>
              </w:rPr>
              <w:t>-</w:t>
            </w:r>
            <w:r>
              <w:rPr>
                <w:rFonts w:ascii="Calibri" w:hAnsi="Calibri" w:cs="Calibri"/>
                <w:b/>
                <w:bCs/>
                <w:color w:val="FFFFFF" w:themeColor="light1"/>
                <w:kern w:val="24"/>
                <w:sz w:val="32"/>
                <w:szCs w:val="32"/>
              </w:rPr>
              <w:t xml:space="preserve"> </w:t>
            </w:r>
            <w:r w:rsidRPr="0028537E">
              <w:rPr>
                <w:rFonts w:ascii="Calibri" w:hAnsi="Calibri" w:cs="Calibri"/>
                <w:b/>
                <w:bCs/>
                <w:color w:val="FFFFFF" w:themeColor="light1"/>
                <w:kern w:val="24"/>
                <w:sz w:val="32"/>
                <w:szCs w:val="32"/>
              </w:rPr>
              <w:t>National Action</w:t>
            </w:r>
          </w:p>
        </w:tc>
        <w:tc>
          <w:tcPr>
            <w:tcW w:w="2465" w:type="pct"/>
            <w:shd w:val="clear" w:color="auto" w:fill="ED7D31" w:themeFill="accent2"/>
          </w:tcPr>
          <w:p w14:paraId="013D005E" w14:textId="1F805B88" w:rsidR="000F3929" w:rsidRPr="0028537E" w:rsidRDefault="000F3929" w:rsidP="00D47AB3">
            <w:pPr>
              <w:pStyle w:val="NormalWeb"/>
              <w:spacing w:before="0" w:beforeAutospacing="0" w:after="0" w:afterAutospacing="0" w:line="256" w:lineRule="auto"/>
              <w:rPr>
                <w:rFonts w:ascii="Calibri" w:hAnsi="Calibri" w:cs="Calibri"/>
                <w:b/>
                <w:bCs/>
                <w:color w:val="FFFFFF" w:themeColor="light1"/>
                <w:kern w:val="24"/>
                <w:sz w:val="32"/>
                <w:szCs w:val="32"/>
              </w:rPr>
            </w:pPr>
            <w:r w:rsidRPr="0028537E">
              <w:rPr>
                <w:rFonts w:ascii="Calibri" w:hAnsi="Calibri" w:cs="Calibri"/>
                <w:b/>
                <w:bCs/>
                <w:color w:val="FFFFFF" w:themeColor="light1"/>
                <w:kern w:val="24"/>
                <w:sz w:val="32"/>
                <w:szCs w:val="32"/>
              </w:rPr>
              <w:t xml:space="preserve">Our Solutions </w:t>
            </w:r>
            <w:r w:rsidR="00515918">
              <w:rPr>
                <w:rFonts w:ascii="Calibri" w:hAnsi="Calibri" w:cs="Calibri"/>
                <w:b/>
                <w:bCs/>
                <w:color w:val="FFFFFF" w:themeColor="light1"/>
                <w:kern w:val="24"/>
                <w:sz w:val="32"/>
                <w:szCs w:val="32"/>
              </w:rPr>
              <w:t xml:space="preserve">- </w:t>
            </w:r>
            <w:r w:rsidRPr="0028537E">
              <w:rPr>
                <w:rFonts w:ascii="Calibri" w:hAnsi="Calibri" w:cs="Calibri"/>
                <w:b/>
                <w:bCs/>
                <w:color w:val="FFFFFF" w:themeColor="light1"/>
                <w:kern w:val="24"/>
                <w:sz w:val="32"/>
                <w:szCs w:val="32"/>
              </w:rPr>
              <w:t>Local Action</w:t>
            </w:r>
          </w:p>
        </w:tc>
      </w:tr>
      <w:tr w:rsidR="000F3929" w:rsidRPr="0046269B" w14:paraId="4305EAEA" w14:textId="77777777" w:rsidTr="00515918">
        <w:tc>
          <w:tcPr>
            <w:tcW w:w="2535" w:type="pct"/>
          </w:tcPr>
          <w:p w14:paraId="564ECB3C" w14:textId="4CC6A39F" w:rsidR="00566F75" w:rsidRPr="00566F75" w:rsidRDefault="000F3929" w:rsidP="00566F75">
            <w:pPr>
              <w:pStyle w:val="NormalWeb"/>
              <w:numPr>
                <w:ilvl w:val="0"/>
                <w:numId w:val="16"/>
              </w:numPr>
              <w:rPr>
                <w:rFonts w:asciiTheme="minorHAnsi" w:eastAsiaTheme="minorHAnsi" w:hAnsiTheme="minorHAnsi" w:cstheme="minorBidi"/>
                <w:sz w:val="22"/>
                <w:szCs w:val="22"/>
                <w:lang w:eastAsia="en-US"/>
              </w:rPr>
            </w:pPr>
            <w:r w:rsidRPr="00566F75">
              <w:rPr>
                <w:rFonts w:asciiTheme="minorHAnsi" w:eastAsiaTheme="minorHAnsi" w:hAnsiTheme="minorHAnsi" w:cstheme="minorBidi"/>
                <w:b/>
                <w:bCs/>
                <w:sz w:val="22"/>
                <w:szCs w:val="22"/>
                <w:lang w:eastAsia="en-US"/>
              </w:rPr>
              <w:t xml:space="preserve">Sustainable </w:t>
            </w:r>
            <w:r w:rsidR="007A7F0C" w:rsidRPr="00566F75">
              <w:rPr>
                <w:rFonts w:asciiTheme="minorHAnsi" w:eastAsiaTheme="minorHAnsi" w:hAnsiTheme="minorHAnsi" w:cstheme="minorBidi"/>
                <w:b/>
                <w:bCs/>
                <w:sz w:val="22"/>
                <w:szCs w:val="22"/>
                <w:lang w:eastAsia="en-US"/>
              </w:rPr>
              <w:t>Funding for outcomes</w:t>
            </w:r>
            <w:r w:rsidR="007A7F0C" w:rsidRPr="00566F75">
              <w:rPr>
                <w:rFonts w:asciiTheme="minorHAnsi" w:eastAsiaTheme="minorHAnsi" w:hAnsiTheme="minorHAnsi" w:cstheme="minorBidi"/>
                <w:sz w:val="22"/>
                <w:szCs w:val="22"/>
                <w:lang w:eastAsia="en-US"/>
              </w:rPr>
              <w:t xml:space="preserve"> </w:t>
            </w:r>
            <w:r w:rsidRPr="00566F75">
              <w:rPr>
                <w:rFonts w:asciiTheme="minorHAnsi" w:eastAsiaTheme="minorHAnsi" w:hAnsiTheme="minorHAnsi" w:cstheme="minorBidi"/>
                <w:sz w:val="22"/>
                <w:szCs w:val="22"/>
                <w:lang w:eastAsia="en-US"/>
              </w:rPr>
              <w:t xml:space="preserve">– a longer-term outcomes focussed funding model along with strategic policy alignment is required </w:t>
            </w:r>
            <w:r w:rsidR="007A7F0C" w:rsidRPr="00566F75">
              <w:rPr>
                <w:rFonts w:asciiTheme="minorHAnsi" w:eastAsiaTheme="minorHAnsi" w:hAnsiTheme="minorHAnsi" w:cstheme="minorBidi"/>
                <w:sz w:val="22"/>
                <w:szCs w:val="22"/>
                <w:lang w:eastAsia="en-US"/>
              </w:rPr>
              <w:t>to facilitate greater interaction &amp; alignment between the multiplicity of existing funding streams to maximise the resources we’ve got &amp; to drive the generational change we desire</w:t>
            </w:r>
            <w:r w:rsidRPr="00566F75">
              <w:rPr>
                <w:rFonts w:asciiTheme="minorHAnsi" w:eastAsiaTheme="minorHAnsi" w:hAnsiTheme="minorHAnsi" w:cstheme="minorBidi"/>
                <w:sz w:val="22"/>
                <w:szCs w:val="22"/>
                <w:lang w:eastAsia="en-US"/>
              </w:rPr>
              <w:t xml:space="preserve">.  </w:t>
            </w:r>
            <w:r w:rsidR="00566F75" w:rsidRPr="00566F75">
              <w:rPr>
                <w:rFonts w:asciiTheme="minorHAnsi" w:eastAsiaTheme="minorHAnsi" w:hAnsiTheme="minorHAnsi" w:cstheme="minorBidi"/>
                <w:sz w:val="22"/>
                <w:szCs w:val="22"/>
                <w:lang w:eastAsia="en-US"/>
              </w:rPr>
              <w:t xml:space="preserve">Inconsistent and short-term funding does not facilitate the building of strong, trusted relationships.  </w:t>
            </w:r>
            <w:r w:rsidRPr="00566F75">
              <w:rPr>
                <w:rFonts w:asciiTheme="minorHAnsi" w:eastAsiaTheme="minorHAnsi" w:hAnsiTheme="minorHAnsi" w:cstheme="minorBidi"/>
                <w:sz w:val="22"/>
                <w:szCs w:val="22"/>
                <w:lang w:eastAsia="en-US"/>
              </w:rPr>
              <w:t>It is important that Ministers lead by example, working together across portfolios and empowering officials to do the same.</w:t>
            </w:r>
          </w:p>
          <w:p w14:paraId="6D497CDD" w14:textId="77777777" w:rsidR="00566F75" w:rsidRPr="00566F75" w:rsidRDefault="00566F75" w:rsidP="00566F75">
            <w:pPr>
              <w:pStyle w:val="ListParagraph"/>
              <w:ind w:left="357"/>
            </w:pPr>
          </w:p>
          <w:p w14:paraId="5CDDADA0" w14:textId="681E4BA9" w:rsidR="000F3929" w:rsidRPr="001032AC" w:rsidRDefault="000F3929" w:rsidP="00515918">
            <w:pPr>
              <w:pStyle w:val="ListParagraph"/>
              <w:numPr>
                <w:ilvl w:val="0"/>
                <w:numId w:val="16"/>
              </w:numPr>
            </w:pPr>
            <w:r w:rsidRPr="00515918">
              <w:rPr>
                <w:b/>
                <w:bCs/>
              </w:rPr>
              <w:t>Funding Community-based provision</w:t>
            </w:r>
            <w:r>
              <w:t xml:space="preserve"> - Funding for other forms of external community-based provision are required to allow young people and families to find alternative ways to address mental health issues.</w:t>
            </w:r>
          </w:p>
          <w:p w14:paraId="3F5ABA60" w14:textId="77777777" w:rsidR="000F3929" w:rsidRDefault="000F3929" w:rsidP="00D47AB3"/>
          <w:p w14:paraId="16ACDA41" w14:textId="08D83171" w:rsidR="000F3929" w:rsidRPr="0046269B" w:rsidRDefault="000F3929" w:rsidP="00515918"/>
        </w:tc>
        <w:tc>
          <w:tcPr>
            <w:tcW w:w="2465" w:type="pct"/>
          </w:tcPr>
          <w:p w14:paraId="003DC03E" w14:textId="77777777" w:rsidR="000F3929" w:rsidRDefault="000F3929" w:rsidP="00D47AB3">
            <w:pPr>
              <w:pStyle w:val="ListParagraph"/>
              <w:ind w:left="360"/>
            </w:pPr>
          </w:p>
          <w:p w14:paraId="5C04A8B8" w14:textId="5511DF82" w:rsidR="000F3929" w:rsidRDefault="000F3929" w:rsidP="00515918">
            <w:pPr>
              <w:numPr>
                <w:ilvl w:val="0"/>
                <w:numId w:val="15"/>
              </w:numPr>
              <w:ind w:left="360"/>
            </w:pPr>
            <w:r>
              <w:t xml:space="preserve">CPPs/CPIB could support the piloting of a new funding model to explore what could be achieved if existing funding streams are aggregated by outcome.  </w:t>
            </w:r>
          </w:p>
          <w:p w14:paraId="29B86987" w14:textId="77777777" w:rsidR="000F3929" w:rsidRDefault="000F3929" w:rsidP="00515918"/>
          <w:p w14:paraId="14BAD315" w14:textId="77777777" w:rsidR="00515918" w:rsidRDefault="000F3929" w:rsidP="00515918">
            <w:pPr>
              <w:numPr>
                <w:ilvl w:val="0"/>
                <w:numId w:val="15"/>
              </w:numPr>
              <w:ind w:left="360"/>
            </w:pPr>
            <w:r>
              <w:t>CPPs should give greater emphasis to collective prioritisation and decision making in relation to funding.  This will help to reduce budget decisions which are short-term and those designed only to protect in-house services.</w:t>
            </w:r>
          </w:p>
          <w:p w14:paraId="5E40790F" w14:textId="77777777" w:rsidR="00515918" w:rsidRDefault="00515918" w:rsidP="00515918">
            <w:pPr>
              <w:pStyle w:val="ListParagraph"/>
              <w:ind w:left="0"/>
            </w:pPr>
          </w:p>
          <w:p w14:paraId="44E4B278" w14:textId="08BB4E63" w:rsidR="00515918" w:rsidRDefault="00515918" w:rsidP="00515918">
            <w:pPr>
              <w:numPr>
                <w:ilvl w:val="0"/>
                <w:numId w:val="15"/>
              </w:numPr>
              <w:ind w:left="360"/>
            </w:pPr>
            <w:r>
              <w:t xml:space="preserve">CPPs should consider how they can support Children’s Service Plans recognising the ask in the recent </w:t>
            </w:r>
            <w:hyperlink r:id="rId20" w:history="1">
              <w:r w:rsidRPr="006D3A81">
                <w:rPr>
                  <w:rStyle w:val="Hyperlink"/>
                </w:rPr>
                <w:t>SG Review</w:t>
              </w:r>
            </w:hyperlink>
            <w:r>
              <w:t xml:space="preserve"> to improve transparency on how the children’s services budget is spent across services and partners shifting investment to prevention and early intervention</w:t>
            </w:r>
          </w:p>
          <w:p w14:paraId="4A33DF2F" w14:textId="77777777" w:rsidR="000F3929" w:rsidRPr="0046269B" w:rsidRDefault="000F3929" w:rsidP="00D47AB3"/>
        </w:tc>
      </w:tr>
    </w:tbl>
    <w:p w14:paraId="76DF0A32" w14:textId="77777777" w:rsidR="000F3929" w:rsidRDefault="000F3929" w:rsidP="00515918"/>
    <w:sectPr w:rsidR="000F3929" w:rsidSect="000F392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1E55"/>
    <w:multiLevelType w:val="hybridMultilevel"/>
    <w:tmpl w:val="EE946E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8C3E30"/>
    <w:multiLevelType w:val="hybridMultilevel"/>
    <w:tmpl w:val="E9C246AA"/>
    <w:lvl w:ilvl="0" w:tplc="4210F4E8">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2138F7"/>
    <w:multiLevelType w:val="hybridMultilevel"/>
    <w:tmpl w:val="2FD091E4"/>
    <w:lvl w:ilvl="0" w:tplc="489E6906">
      <w:start w:val="1"/>
      <w:numFmt w:val="bullet"/>
      <w:lvlText w:val=""/>
      <w:lvlJc w:val="left"/>
      <w:pPr>
        <w:tabs>
          <w:tab w:val="num" w:pos="720"/>
        </w:tabs>
        <w:ind w:left="720" w:hanging="360"/>
      </w:pPr>
      <w:rPr>
        <w:rFonts w:ascii="Symbol" w:hAnsi="Symbol" w:hint="default"/>
      </w:rPr>
    </w:lvl>
    <w:lvl w:ilvl="1" w:tplc="811ED7F2" w:tentative="1">
      <w:start w:val="1"/>
      <w:numFmt w:val="bullet"/>
      <w:lvlText w:val=""/>
      <w:lvlJc w:val="left"/>
      <w:pPr>
        <w:tabs>
          <w:tab w:val="num" w:pos="1440"/>
        </w:tabs>
        <w:ind w:left="1440" w:hanging="360"/>
      </w:pPr>
      <w:rPr>
        <w:rFonts w:ascii="Symbol" w:hAnsi="Symbol" w:hint="default"/>
      </w:rPr>
    </w:lvl>
    <w:lvl w:ilvl="2" w:tplc="16062D70" w:tentative="1">
      <w:start w:val="1"/>
      <w:numFmt w:val="bullet"/>
      <w:lvlText w:val=""/>
      <w:lvlJc w:val="left"/>
      <w:pPr>
        <w:tabs>
          <w:tab w:val="num" w:pos="2160"/>
        </w:tabs>
        <w:ind w:left="2160" w:hanging="360"/>
      </w:pPr>
      <w:rPr>
        <w:rFonts w:ascii="Symbol" w:hAnsi="Symbol" w:hint="default"/>
      </w:rPr>
    </w:lvl>
    <w:lvl w:ilvl="3" w:tplc="70748EA0" w:tentative="1">
      <w:start w:val="1"/>
      <w:numFmt w:val="bullet"/>
      <w:lvlText w:val=""/>
      <w:lvlJc w:val="left"/>
      <w:pPr>
        <w:tabs>
          <w:tab w:val="num" w:pos="2880"/>
        </w:tabs>
        <w:ind w:left="2880" w:hanging="360"/>
      </w:pPr>
      <w:rPr>
        <w:rFonts w:ascii="Symbol" w:hAnsi="Symbol" w:hint="default"/>
      </w:rPr>
    </w:lvl>
    <w:lvl w:ilvl="4" w:tplc="FAF2CD48" w:tentative="1">
      <w:start w:val="1"/>
      <w:numFmt w:val="bullet"/>
      <w:lvlText w:val=""/>
      <w:lvlJc w:val="left"/>
      <w:pPr>
        <w:tabs>
          <w:tab w:val="num" w:pos="3600"/>
        </w:tabs>
        <w:ind w:left="3600" w:hanging="360"/>
      </w:pPr>
      <w:rPr>
        <w:rFonts w:ascii="Symbol" w:hAnsi="Symbol" w:hint="default"/>
      </w:rPr>
    </w:lvl>
    <w:lvl w:ilvl="5" w:tplc="CAD8402A" w:tentative="1">
      <w:start w:val="1"/>
      <w:numFmt w:val="bullet"/>
      <w:lvlText w:val=""/>
      <w:lvlJc w:val="left"/>
      <w:pPr>
        <w:tabs>
          <w:tab w:val="num" w:pos="4320"/>
        </w:tabs>
        <w:ind w:left="4320" w:hanging="360"/>
      </w:pPr>
      <w:rPr>
        <w:rFonts w:ascii="Symbol" w:hAnsi="Symbol" w:hint="default"/>
      </w:rPr>
    </w:lvl>
    <w:lvl w:ilvl="6" w:tplc="DF22D342" w:tentative="1">
      <w:start w:val="1"/>
      <w:numFmt w:val="bullet"/>
      <w:lvlText w:val=""/>
      <w:lvlJc w:val="left"/>
      <w:pPr>
        <w:tabs>
          <w:tab w:val="num" w:pos="5040"/>
        </w:tabs>
        <w:ind w:left="5040" w:hanging="360"/>
      </w:pPr>
      <w:rPr>
        <w:rFonts w:ascii="Symbol" w:hAnsi="Symbol" w:hint="default"/>
      </w:rPr>
    </w:lvl>
    <w:lvl w:ilvl="7" w:tplc="418C0290" w:tentative="1">
      <w:start w:val="1"/>
      <w:numFmt w:val="bullet"/>
      <w:lvlText w:val=""/>
      <w:lvlJc w:val="left"/>
      <w:pPr>
        <w:tabs>
          <w:tab w:val="num" w:pos="5760"/>
        </w:tabs>
        <w:ind w:left="5760" w:hanging="360"/>
      </w:pPr>
      <w:rPr>
        <w:rFonts w:ascii="Symbol" w:hAnsi="Symbol" w:hint="default"/>
      </w:rPr>
    </w:lvl>
    <w:lvl w:ilvl="8" w:tplc="B73C1F8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B8085B"/>
    <w:multiLevelType w:val="hybridMultilevel"/>
    <w:tmpl w:val="8B5E04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0C7864"/>
    <w:multiLevelType w:val="hybridMultilevel"/>
    <w:tmpl w:val="164E08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010267"/>
    <w:multiLevelType w:val="hybridMultilevel"/>
    <w:tmpl w:val="C08C571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09707A"/>
    <w:multiLevelType w:val="hybridMultilevel"/>
    <w:tmpl w:val="B0E4A2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CB62C0"/>
    <w:multiLevelType w:val="hybridMultilevel"/>
    <w:tmpl w:val="FECEC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921C6D"/>
    <w:multiLevelType w:val="hybridMultilevel"/>
    <w:tmpl w:val="73F4C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9050E8"/>
    <w:multiLevelType w:val="hybridMultilevel"/>
    <w:tmpl w:val="1F6AA390"/>
    <w:lvl w:ilvl="0" w:tplc="B01EEB54">
      <w:start w:val="1"/>
      <w:numFmt w:val="bullet"/>
      <w:lvlText w:val="•"/>
      <w:lvlJc w:val="left"/>
      <w:pPr>
        <w:tabs>
          <w:tab w:val="num" w:pos="360"/>
        </w:tabs>
        <w:ind w:left="360" w:hanging="360"/>
      </w:pPr>
      <w:rPr>
        <w:rFonts w:ascii="Arial" w:hAnsi="Arial" w:hint="default"/>
      </w:rPr>
    </w:lvl>
    <w:lvl w:ilvl="1" w:tplc="A646704A">
      <w:start w:val="25694"/>
      <w:numFmt w:val="bullet"/>
      <w:lvlText w:val="•"/>
      <w:lvlJc w:val="left"/>
      <w:pPr>
        <w:tabs>
          <w:tab w:val="num" w:pos="1080"/>
        </w:tabs>
        <w:ind w:left="1080" w:hanging="360"/>
      </w:pPr>
      <w:rPr>
        <w:rFonts w:ascii="Arial" w:hAnsi="Arial" w:hint="default"/>
      </w:rPr>
    </w:lvl>
    <w:lvl w:ilvl="2" w:tplc="2C948E66" w:tentative="1">
      <w:start w:val="1"/>
      <w:numFmt w:val="bullet"/>
      <w:lvlText w:val="•"/>
      <w:lvlJc w:val="left"/>
      <w:pPr>
        <w:tabs>
          <w:tab w:val="num" w:pos="1800"/>
        </w:tabs>
        <w:ind w:left="1800" w:hanging="360"/>
      </w:pPr>
      <w:rPr>
        <w:rFonts w:ascii="Arial" w:hAnsi="Arial" w:hint="default"/>
      </w:rPr>
    </w:lvl>
    <w:lvl w:ilvl="3" w:tplc="5C50FDD4" w:tentative="1">
      <w:start w:val="1"/>
      <w:numFmt w:val="bullet"/>
      <w:lvlText w:val="•"/>
      <w:lvlJc w:val="left"/>
      <w:pPr>
        <w:tabs>
          <w:tab w:val="num" w:pos="2520"/>
        </w:tabs>
        <w:ind w:left="2520" w:hanging="360"/>
      </w:pPr>
      <w:rPr>
        <w:rFonts w:ascii="Arial" w:hAnsi="Arial" w:hint="default"/>
      </w:rPr>
    </w:lvl>
    <w:lvl w:ilvl="4" w:tplc="304A0AC6" w:tentative="1">
      <w:start w:val="1"/>
      <w:numFmt w:val="bullet"/>
      <w:lvlText w:val="•"/>
      <w:lvlJc w:val="left"/>
      <w:pPr>
        <w:tabs>
          <w:tab w:val="num" w:pos="3240"/>
        </w:tabs>
        <w:ind w:left="3240" w:hanging="360"/>
      </w:pPr>
      <w:rPr>
        <w:rFonts w:ascii="Arial" w:hAnsi="Arial" w:hint="default"/>
      </w:rPr>
    </w:lvl>
    <w:lvl w:ilvl="5" w:tplc="D35C20BA" w:tentative="1">
      <w:start w:val="1"/>
      <w:numFmt w:val="bullet"/>
      <w:lvlText w:val="•"/>
      <w:lvlJc w:val="left"/>
      <w:pPr>
        <w:tabs>
          <w:tab w:val="num" w:pos="3960"/>
        </w:tabs>
        <w:ind w:left="3960" w:hanging="360"/>
      </w:pPr>
      <w:rPr>
        <w:rFonts w:ascii="Arial" w:hAnsi="Arial" w:hint="default"/>
      </w:rPr>
    </w:lvl>
    <w:lvl w:ilvl="6" w:tplc="C77ED196" w:tentative="1">
      <w:start w:val="1"/>
      <w:numFmt w:val="bullet"/>
      <w:lvlText w:val="•"/>
      <w:lvlJc w:val="left"/>
      <w:pPr>
        <w:tabs>
          <w:tab w:val="num" w:pos="4680"/>
        </w:tabs>
        <w:ind w:left="4680" w:hanging="360"/>
      </w:pPr>
      <w:rPr>
        <w:rFonts w:ascii="Arial" w:hAnsi="Arial" w:hint="default"/>
      </w:rPr>
    </w:lvl>
    <w:lvl w:ilvl="7" w:tplc="EA7424A6" w:tentative="1">
      <w:start w:val="1"/>
      <w:numFmt w:val="bullet"/>
      <w:lvlText w:val="•"/>
      <w:lvlJc w:val="left"/>
      <w:pPr>
        <w:tabs>
          <w:tab w:val="num" w:pos="5400"/>
        </w:tabs>
        <w:ind w:left="5400" w:hanging="360"/>
      </w:pPr>
      <w:rPr>
        <w:rFonts w:ascii="Arial" w:hAnsi="Arial" w:hint="default"/>
      </w:rPr>
    </w:lvl>
    <w:lvl w:ilvl="8" w:tplc="666CD58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B7D6953"/>
    <w:multiLevelType w:val="hybridMultilevel"/>
    <w:tmpl w:val="B6402A28"/>
    <w:lvl w:ilvl="0" w:tplc="CA20E6C4">
      <w:start w:val="1"/>
      <w:numFmt w:val="bullet"/>
      <w:lvlText w:val="•"/>
      <w:lvlJc w:val="left"/>
      <w:pPr>
        <w:tabs>
          <w:tab w:val="num" w:pos="720"/>
        </w:tabs>
        <w:ind w:left="720" w:hanging="360"/>
      </w:pPr>
      <w:rPr>
        <w:rFonts w:ascii="Arial" w:hAnsi="Arial" w:hint="default"/>
      </w:rPr>
    </w:lvl>
    <w:lvl w:ilvl="1" w:tplc="AF8ADDEE" w:tentative="1">
      <w:start w:val="1"/>
      <w:numFmt w:val="bullet"/>
      <w:lvlText w:val="•"/>
      <w:lvlJc w:val="left"/>
      <w:pPr>
        <w:tabs>
          <w:tab w:val="num" w:pos="1440"/>
        </w:tabs>
        <w:ind w:left="1440" w:hanging="360"/>
      </w:pPr>
      <w:rPr>
        <w:rFonts w:ascii="Arial" w:hAnsi="Arial" w:hint="default"/>
      </w:rPr>
    </w:lvl>
    <w:lvl w:ilvl="2" w:tplc="8E3CFAF8" w:tentative="1">
      <w:start w:val="1"/>
      <w:numFmt w:val="bullet"/>
      <w:lvlText w:val="•"/>
      <w:lvlJc w:val="left"/>
      <w:pPr>
        <w:tabs>
          <w:tab w:val="num" w:pos="2160"/>
        </w:tabs>
        <w:ind w:left="2160" w:hanging="360"/>
      </w:pPr>
      <w:rPr>
        <w:rFonts w:ascii="Arial" w:hAnsi="Arial" w:hint="default"/>
      </w:rPr>
    </w:lvl>
    <w:lvl w:ilvl="3" w:tplc="A21C9816" w:tentative="1">
      <w:start w:val="1"/>
      <w:numFmt w:val="bullet"/>
      <w:lvlText w:val="•"/>
      <w:lvlJc w:val="left"/>
      <w:pPr>
        <w:tabs>
          <w:tab w:val="num" w:pos="2880"/>
        </w:tabs>
        <w:ind w:left="2880" w:hanging="360"/>
      </w:pPr>
      <w:rPr>
        <w:rFonts w:ascii="Arial" w:hAnsi="Arial" w:hint="default"/>
      </w:rPr>
    </w:lvl>
    <w:lvl w:ilvl="4" w:tplc="276CA8F2" w:tentative="1">
      <w:start w:val="1"/>
      <w:numFmt w:val="bullet"/>
      <w:lvlText w:val="•"/>
      <w:lvlJc w:val="left"/>
      <w:pPr>
        <w:tabs>
          <w:tab w:val="num" w:pos="3600"/>
        </w:tabs>
        <w:ind w:left="3600" w:hanging="360"/>
      </w:pPr>
      <w:rPr>
        <w:rFonts w:ascii="Arial" w:hAnsi="Arial" w:hint="default"/>
      </w:rPr>
    </w:lvl>
    <w:lvl w:ilvl="5" w:tplc="FD32F9D2" w:tentative="1">
      <w:start w:val="1"/>
      <w:numFmt w:val="bullet"/>
      <w:lvlText w:val="•"/>
      <w:lvlJc w:val="left"/>
      <w:pPr>
        <w:tabs>
          <w:tab w:val="num" w:pos="4320"/>
        </w:tabs>
        <w:ind w:left="4320" w:hanging="360"/>
      </w:pPr>
      <w:rPr>
        <w:rFonts w:ascii="Arial" w:hAnsi="Arial" w:hint="default"/>
      </w:rPr>
    </w:lvl>
    <w:lvl w:ilvl="6" w:tplc="A104932C" w:tentative="1">
      <w:start w:val="1"/>
      <w:numFmt w:val="bullet"/>
      <w:lvlText w:val="•"/>
      <w:lvlJc w:val="left"/>
      <w:pPr>
        <w:tabs>
          <w:tab w:val="num" w:pos="5040"/>
        </w:tabs>
        <w:ind w:left="5040" w:hanging="360"/>
      </w:pPr>
      <w:rPr>
        <w:rFonts w:ascii="Arial" w:hAnsi="Arial" w:hint="default"/>
      </w:rPr>
    </w:lvl>
    <w:lvl w:ilvl="7" w:tplc="A9AEE56A" w:tentative="1">
      <w:start w:val="1"/>
      <w:numFmt w:val="bullet"/>
      <w:lvlText w:val="•"/>
      <w:lvlJc w:val="left"/>
      <w:pPr>
        <w:tabs>
          <w:tab w:val="num" w:pos="5760"/>
        </w:tabs>
        <w:ind w:left="5760" w:hanging="360"/>
      </w:pPr>
      <w:rPr>
        <w:rFonts w:ascii="Arial" w:hAnsi="Arial" w:hint="default"/>
      </w:rPr>
    </w:lvl>
    <w:lvl w:ilvl="8" w:tplc="A90EEF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D37EC"/>
    <w:multiLevelType w:val="hybridMultilevel"/>
    <w:tmpl w:val="2EC81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16ECA"/>
    <w:multiLevelType w:val="hybridMultilevel"/>
    <w:tmpl w:val="2CC87A0C"/>
    <w:lvl w:ilvl="0" w:tplc="0809000F">
      <w:start w:val="1"/>
      <w:numFmt w:val="decimal"/>
      <w:lvlText w:val="%1."/>
      <w:lvlJc w:val="left"/>
      <w:pPr>
        <w:tabs>
          <w:tab w:val="num" w:pos="360"/>
        </w:tabs>
        <w:ind w:left="360" w:hanging="360"/>
      </w:pPr>
      <w:rPr>
        <w:rFonts w:hint="default"/>
      </w:rPr>
    </w:lvl>
    <w:lvl w:ilvl="1" w:tplc="6FD81060" w:tentative="1">
      <w:start w:val="1"/>
      <w:numFmt w:val="bullet"/>
      <w:lvlText w:val="-"/>
      <w:lvlJc w:val="left"/>
      <w:pPr>
        <w:tabs>
          <w:tab w:val="num" w:pos="1080"/>
        </w:tabs>
        <w:ind w:left="1080" w:hanging="360"/>
      </w:pPr>
      <w:rPr>
        <w:rFonts w:ascii="Times New Roman" w:hAnsi="Times New Roman" w:hint="default"/>
      </w:rPr>
    </w:lvl>
    <w:lvl w:ilvl="2" w:tplc="B4D4B7F2" w:tentative="1">
      <w:start w:val="1"/>
      <w:numFmt w:val="bullet"/>
      <w:lvlText w:val="-"/>
      <w:lvlJc w:val="left"/>
      <w:pPr>
        <w:tabs>
          <w:tab w:val="num" w:pos="1800"/>
        </w:tabs>
        <w:ind w:left="1800" w:hanging="360"/>
      </w:pPr>
      <w:rPr>
        <w:rFonts w:ascii="Times New Roman" w:hAnsi="Times New Roman" w:hint="default"/>
      </w:rPr>
    </w:lvl>
    <w:lvl w:ilvl="3" w:tplc="4F3C2B4C" w:tentative="1">
      <w:start w:val="1"/>
      <w:numFmt w:val="bullet"/>
      <w:lvlText w:val="-"/>
      <w:lvlJc w:val="left"/>
      <w:pPr>
        <w:tabs>
          <w:tab w:val="num" w:pos="2520"/>
        </w:tabs>
        <w:ind w:left="2520" w:hanging="360"/>
      </w:pPr>
      <w:rPr>
        <w:rFonts w:ascii="Times New Roman" w:hAnsi="Times New Roman" w:hint="default"/>
      </w:rPr>
    </w:lvl>
    <w:lvl w:ilvl="4" w:tplc="4E36D6BE" w:tentative="1">
      <w:start w:val="1"/>
      <w:numFmt w:val="bullet"/>
      <w:lvlText w:val="-"/>
      <w:lvlJc w:val="left"/>
      <w:pPr>
        <w:tabs>
          <w:tab w:val="num" w:pos="3240"/>
        </w:tabs>
        <w:ind w:left="3240" w:hanging="360"/>
      </w:pPr>
      <w:rPr>
        <w:rFonts w:ascii="Times New Roman" w:hAnsi="Times New Roman" w:hint="default"/>
      </w:rPr>
    </w:lvl>
    <w:lvl w:ilvl="5" w:tplc="CF00CDA4" w:tentative="1">
      <w:start w:val="1"/>
      <w:numFmt w:val="bullet"/>
      <w:lvlText w:val="-"/>
      <w:lvlJc w:val="left"/>
      <w:pPr>
        <w:tabs>
          <w:tab w:val="num" w:pos="3960"/>
        </w:tabs>
        <w:ind w:left="3960" w:hanging="360"/>
      </w:pPr>
      <w:rPr>
        <w:rFonts w:ascii="Times New Roman" w:hAnsi="Times New Roman" w:hint="default"/>
      </w:rPr>
    </w:lvl>
    <w:lvl w:ilvl="6" w:tplc="BC0C9EEC" w:tentative="1">
      <w:start w:val="1"/>
      <w:numFmt w:val="bullet"/>
      <w:lvlText w:val="-"/>
      <w:lvlJc w:val="left"/>
      <w:pPr>
        <w:tabs>
          <w:tab w:val="num" w:pos="4680"/>
        </w:tabs>
        <w:ind w:left="4680" w:hanging="360"/>
      </w:pPr>
      <w:rPr>
        <w:rFonts w:ascii="Times New Roman" w:hAnsi="Times New Roman" w:hint="default"/>
      </w:rPr>
    </w:lvl>
    <w:lvl w:ilvl="7" w:tplc="4D808082" w:tentative="1">
      <w:start w:val="1"/>
      <w:numFmt w:val="bullet"/>
      <w:lvlText w:val="-"/>
      <w:lvlJc w:val="left"/>
      <w:pPr>
        <w:tabs>
          <w:tab w:val="num" w:pos="5400"/>
        </w:tabs>
        <w:ind w:left="5400" w:hanging="360"/>
      </w:pPr>
      <w:rPr>
        <w:rFonts w:ascii="Times New Roman" w:hAnsi="Times New Roman" w:hint="default"/>
      </w:rPr>
    </w:lvl>
    <w:lvl w:ilvl="8" w:tplc="59207AD2"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41076416"/>
    <w:multiLevelType w:val="hybridMultilevel"/>
    <w:tmpl w:val="CFB84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9B063A"/>
    <w:multiLevelType w:val="hybridMultilevel"/>
    <w:tmpl w:val="4058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05403"/>
    <w:multiLevelType w:val="hybridMultilevel"/>
    <w:tmpl w:val="8D6499A6"/>
    <w:lvl w:ilvl="0" w:tplc="175A4336">
      <w:start w:val="1"/>
      <w:numFmt w:val="bullet"/>
      <w:lvlText w:val="•"/>
      <w:lvlJc w:val="left"/>
      <w:pPr>
        <w:tabs>
          <w:tab w:val="num" w:pos="360"/>
        </w:tabs>
        <w:ind w:left="360" w:hanging="360"/>
      </w:pPr>
      <w:rPr>
        <w:rFonts w:ascii="Arial" w:hAnsi="Arial" w:hint="default"/>
      </w:rPr>
    </w:lvl>
    <w:lvl w:ilvl="1" w:tplc="C7EC4D60" w:tentative="1">
      <w:start w:val="1"/>
      <w:numFmt w:val="bullet"/>
      <w:lvlText w:val="•"/>
      <w:lvlJc w:val="left"/>
      <w:pPr>
        <w:tabs>
          <w:tab w:val="num" w:pos="1080"/>
        </w:tabs>
        <w:ind w:left="1080" w:hanging="360"/>
      </w:pPr>
      <w:rPr>
        <w:rFonts w:ascii="Arial" w:hAnsi="Arial" w:hint="default"/>
      </w:rPr>
    </w:lvl>
    <w:lvl w:ilvl="2" w:tplc="C5167B10" w:tentative="1">
      <w:start w:val="1"/>
      <w:numFmt w:val="bullet"/>
      <w:lvlText w:val="•"/>
      <w:lvlJc w:val="left"/>
      <w:pPr>
        <w:tabs>
          <w:tab w:val="num" w:pos="1800"/>
        </w:tabs>
        <w:ind w:left="1800" w:hanging="360"/>
      </w:pPr>
      <w:rPr>
        <w:rFonts w:ascii="Arial" w:hAnsi="Arial" w:hint="default"/>
      </w:rPr>
    </w:lvl>
    <w:lvl w:ilvl="3" w:tplc="B9324FC8" w:tentative="1">
      <w:start w:val="1"/>
      <w:numFmt w:val="bullet"/>
      <w:lvlText w:val="•"/>
      <w:lvlJc w:val="left"/>
      <w:pPr>
        <w:tabs>
          <w:tab w:val="num" w:pos="2520"/>
        </w:tabs>
        <w:ind w:left="2520" w:hanging="360"/>
      </w:pPr>
      <w:rPr>
        <w:rFonts w:ascii="Arial" w:hAnsi="Arial" w:hint="default"/>
      </w:rPr>
    </w:lvl>
    <w:lvl w:ilvl="4" w:tplc="0A8E5434" w:tentative="1">
      <w:start w:val="1"/>
      <w:numFmt w:val="bullet"/>
      <w:lvlText w:val="•"/>
      <w:lvlJc w:val="left"/>
      <w:pPr>
        <w:tabs>
          <w:tab w:val="num" w:pos="3240"/>
        </w:tabs>
        <w:ind w:left="3240" w:hanging="360"/>
      </w:pPr>
      <w:rPr>
        <w:rFonts w:ascii="Arial" w:hAnsi="Arial" w:hint="default"/>
      </w:rPr>
    </w:lvl>
    <w:lvl w:ilvl="5" w:tplc="A45CE182" w:tentative="1">
      <w:start w:val="1"/>
      <w:numFmt w:val="bullet"/>
      <w:lvlText w:val="•"/>
      <w:lvlJc w:val="left"/>
      <w:pPr>
        <w:tabs>
          <w:tab w:val="num" w:pos="3960"/>
        </w:tabs>
        <w:ind w:left="3960" w:hanging="360"/>
      </w:pPr>
      <w:rPr>
        <w:rFonts w:ascii="Arial" w:hAnsi="Arial" w:hint="default"/>
      </w:rPr>
    </w:lvl>
    <w:lvl w:ilvl="6" w:tplc="FD30C4AC" w:tentative="1">
      <w:start w:val="1"/>
      <w:numFmt w:val="bullet"/>
      <w:lvlText w:val="•"/>
      <w:lvlJc w:val="left"/>
      <w:pPr>
        <w:tabs>
          <w:tab w:val="num" w:pos="4680"/>
        </w:tabs>
        <w:ind w:left="4680" w:hanging="360"/>
      </w:pPr>
      <w:rPr>
        <w:rFonts w:ascii="Arial" w:hAnsi="Arial" w:hint="default"/>
      </w:rPr>
    </w:lvl>
    <w:lvl w:ilvl="7" w:tplc="8318CC5C" w:tentative="1">
      <w:start w:val="1"/>
      <w:numFmt w:val="bullet"/>
      <w:lvlText w:val="•"/>
      <w:lvlJc w:val="left"/>
      <w:pPr>
        <w:tabs>
          <w:tab w:val="num" w:pos="5400"/>
        </w:tabs>
        <w:ind w:left="5400" w:hanging="360"/>
      </w:pPr>
      <w:rPr>
        <w:rFonts w:ascii="Arial" w:hAnsi="Arial" w:hint="default"/>
      </w:rPr>
    </w:lvl>
    <w:lvl w:ilvl="8" w:tplc="6D9432D4"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BEE33F6"/>
    <w:multiLevelType w:val="hybridMultilevel"/>
    <w:tmpl w:val="22463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07CF7"/>
    <w:multiLevelType w:val="hybridMultilevel"/>
    <w:tmpl w:val="DABE6DBC"/>
    <w:lvl w:ilvl="0" w:tplc="0809000F">
      <w:start w:val="1"/>
      <w:numFmt w:val="decimal"/>
      <w:lvlText w:val="%1."/>
      <w:lvlJc w:val="left"/>
      <w:pPr>
        <w:tabs>
          <w:tab w:val="num" w:pos="720"/>
        </w:tabs>
        <w:ind w:left="720" w:hanging="360"/>
      </w:pPr>
      <w:rPr>
        <w:rFonts w:hint="default"/>
      </w:rPr>
    </w:lvl>
    <w:lvl w:ilvl="1" w:tplc="AF8ADDEE" w:tentative="1">
      <w:start w:val="1"/>
      <w:numFmt w:val="bullet"/>
      <w:lvlText w:val="•"/>
      <w:lvlJc w:val="left"/>
      <w:pPr>
        <w:tabs>
          <w:tab w:val="num" w:pos="1440"/>
        </w:tabs>
        <w:ind w:left="1440" w:hanging="360"/>
      </w:pPr>
      <w:rPr>
        <w:rFonts w:ascii="Arial" w:hAnsi="Arial" w:hint="default"/>
      </w:rPr>
    </w:lvl>
    <w:lvl w:ilvl="2" w:tplc="8E3CFAF8" w:tentative="1">
      <w:start w:val="1"/>
      <w:numFmt w:val="bullet"/>
      <w:lvlText w:val="•"/>
      <w:lvlJc w:val="left"/>
      <w:pPr>
        <w:tabs>
          <w:tab w:val="num" w:pos="2160"/>
        </w:tabs>
        <w:ind w:left="2160" w:hanging="360"/>
      </w:pPr>
      <w:rPr>
        <w:rFonts w:ascii="Arial" w:hAnsi="Arial" w:hint="default"/>
      </w:rPr>
    </w:lvl>
    <w:lvl w:ilvl="3" w:tplc="A21C9816" w:tentative="1">
      <w:start w:val="1"/>
      <w:numFmt w:val="bullet"/>
      <w:lvlText w:val="•"/>
      <w:lvlJc w:val="left"/>
      <w:pPr>
        <w:tabs>
          <w:tab w:val="num" w:pos="2880"/>
        </w:tabs>
        <w:ind w:left="2880" w:hanging="360"/>
      </w:pPr>
      <w:rPr>
        <w:rFonts w:ascii="Arial" w:hAnsi="Arial" w:hint="default"/>
      </w:rPr>
    </w:lvl>
    <w:lvl w:ilvl="4" w:tplc="276CA8F2" w:tentative="1">
      <w:start w:val="1"/>
      <w:numFmt w:val="bullet"/>
      <w:lvlText w:val="•"/>
      <w:lvlJc w:val="left"/>
      <w:pPr>
        <w:tabs>
          <w:tab w:val="num" w:pos="3600"/>
        </w:tabs>
        <w:ind w:left="3600" w:hanging="360"/>
      </w:pPr>
      <w:rPr>
        <w:rFonts w:ascii="Arial" w:hAnsi="Arial" w:hint="default"/>
      </w:rPr>
    </w:lvl>
    <w:lvl w:ilvl="5" w:tplc="FD32F9D2" w:tentative="1">
      <w:start w:val="1"/>
      <w:numFmt w:val="bullet"/>
      <w:lvlText w:val="•"/>
      <w:lvlJc w:val="left"/>
      <w:pPr>
        <w:tabs>
          <w:tab w:val="num" w:pos="4320"/>
        </w:tabs>
        <w:ind w:left="4320" w:hanging="360"/>
      </w:pPr>
      <w:rPr>
        <w:rFonts w:ascii="Arial" w:hAnsi="Arial" w:hint="default"/>
      </w:rPr>
    </w:lvl>
    <w:lvl w:ilvl="6" w:tplc="A104932C" w:tentative="1">
      <w:start w:val="1"/>
      <w:numFmt w:val="bullet"/>
      <w:lvlText w:val="•"/>
      <w:lvlJc w:val="left"/>
      <w:pPr>
        <w:tabs>
          <w:tab w:val="num" w:pos="5040"/>
        </w:tabs>
        <w:ind w:left="5040" w:hanging="360"/>
      </w:pPr>
      <w:rPr>
        <w:rFonts w:ascii="Arial" w:hAnsi="Arial" w:hint="default"/>
      </w:rPr>
    </w:lvl>
    <w:lvl w:ilvl="7" w:tplc="A9AEE56A" w:tentative="1">
      <w:start w:val="1"/>
      <w:numFmt w:val="bullet"/>
      <w:lvlText w:val="•"/>
      <w:lvlJc w:val="left"/>
      <w:pPr>
        <w:tabs>
          <w:tab w:val="num" w:pos="5760"/>
        </w:tabs>
        <w:ind w:left="5760" w:hanging="360"/>
      </w:pPr>
      <w:rPr>
        <w:rFonts w:ascii="Arial" w:hAnsi="Arial" w:hint="default"/>
      </w:rPr>
    </w:lvl>
    <w:lvl w:ilvl="8" w:tplc="A90EEF5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9B43FB"/>
    <w:multiLevelType w:val="hybridMultilevel"/>
    <w:tmpl w:val="4864AD5C"/>
    <w:lvl w:ilvl="0" w:tplc="4210F4E8">
      <w:start w:val="5"/>
      <w:numFmt w:val="bullet"/>
      <w:lvlText w:val="-"/>
      <w:lvlJc w:val="left"/>
      <w:pPr>
        <w:ind w:left="720" w:hanging="360"/>
      </w:pPr>
      <w:rPr>
        <w:rFonts w:ascii="Calibri" w:eastAsiaTheme="minorHAnsi"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FB4446"/>
    <w:multiLevelType w:val="hybridMultilevel"/>
    <w:tmpl w:val="FE162FAE"/>
    <w:lvl w:ilvl="0" w:tplc="9866FA9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FD4366"/>
    <w:multiLevelType w:val="hybridMultilevel"/>
    <w:tmpl w:val="D03E53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760CB6"/>
    <w:multiLevelType w:val="hybridMultilevel"/>
    <w:tmpl w:val="AC6C209C"/>
    <w:lvl w:ilvl="0" w:tplc="4210F4E8">
      <w:start w:val="5"/>
      <w:numFmt w:val="bullet"/>
      <w:lvlText w:val="-"/>
      <w:lvlJc w:val="left"/>
      <w:pPr>
        <w:ind w:left="720" w:hanging="360"/>
      </w:pPr>
      <w:rPr>
        <w:rFonts w:ascii="Calibri" w:eastAsiaTheme="minorHAnsi"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6973100">
    <w:abstractNumId w:val="8"/>
  </w:num>
  <w:num w:numId="2" w16cid:durableId="2123841266">
    <w:abstractNumId w:val="19"/>
  </w:num>
  <w:num w:numId="3" w16cid:durableId="2043046921">
    <w:abstractNumId w:val="0"/>
  </w:num>
  <w:num w:numId="4" w16cid:durableId="1062366555">
    <w:abstractNumId w:val="12"/>
  </w:num>
  <w:num w:numId="5" w16cid:durableId="2127580123">
    <w:abstractNumId w:val="14"/>
  </w:num>
  <w:num w:numId="6" w16cid:durableId="1763641309">
    <w:abstractNumId w:val="11"/>
  </w:num>
  <w:num w:numId="7" w16cid:durableId="1768572003">
    <w:abstractNumId w:val="7"/>
  </w:num>
  <w:num w:numId="8" w16cid:durableId="1785343525">
    <w:abstractNumId w:val="5"/>
  </w:num>
  <w:num w:numId="9" w16cid:durableId="367922450">
    <w:abstractNumId w:val="20"/>
  </w:num>
  <w:num w:numId="10" w16cid:durableId="1031296194">
    <w:abstractNumId w:val="9"/>
  </w:num>
  <w:num w:numId="11" w16cid:durableId="3554079">
    <w:abstractNumId w:val="4"/>
  </w:num>
  <w:num w:numId="12" w16cid:durableId="1326973423">
    <w:abstractNumId w:val="1"/>
  </w:num>
  <w:num w:numId="13" w16cid:durableId="1066101257">
    <w:abstractNumId w:val="15"/>
  </w:num>
  <w:num w:numId="14" w16cid:durableId="87772697">
    <w:abstractNumId w:val="10"/>
  </w:num>
  <w:num w:numId="15" w16cid:durableId="342516844">
    <w:abstractNumId w:val="17"/>
  </w:num>
  <w:num w:numId="16" w16cid:durableId="1661350594">
    <w:abstractNumId w:val="3"/>
  </w:num>
  <w:num w:numId="17" w16cid:durableId="2005743219">
    <w:abstractNumId w:val="2"/>
  </w:num>
  <w:num w:numId="18" w16cid:durableId="1826043438">
    <w:abstractNumId w:val="16"/>
  </w:num>
  <w:num w:numId="19" w16cid:durableId="1009714867">
    <w:abstractNumId w:val="13"/>
  </w:num>
  <w:num w:numId="20" w16cid:durableId="2072540743">
    <w:abstractNumId w:val="18"/>
  </w:num>
  <w:num w:numId="21" w16cid:durableId="1965429259">
    <w:abstractNumId w:val="21"/>
  </w:num>
  <w:num w:numId="22" w16cid:durableId="483552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1"/>
    <w:rsid w:val="000F3929"/>
    <w:rsid w:val="00115775"/>
    <w:rsid w:val="00515918"/>
    <w:rsid w:val="00566F75"/>
    <w:rsid w:val="007A7F0C"/>
    <w:rsid w:val="00810BCD"/>
    <w:rsid w:val="008D597D"/>
    <w:rsid w:val="00C82841"/>
    <w:rsid w:val="00CA5F3C"/>
    <w:rsid w:val="00D250AF"/>
    <w:rsid w:val="00E3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E8C8BF"/>
  <w15:chartTrackingRefBased/>
  <w15:docId w15:val="{4E014764-C2F0-4588-A6BF-1C577CFB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841"/>
  </w:style>
  <w:style w:type="paragraph" w:styleId="Heading1">
    <w:name w:val="heading 1"/>
    <w:basedOn w:val="Normal"/>
    <w:next w:val="Normal"/>
    <w:link w:val="Heading1Char"/>
    <w:uiPriority w:val="9"/>
    <w:qFormat/>
    <w:rsid w:val="000F39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841"/>
    <w:pPr>
      <w:ind w:left="720"/>
      <w:contextualSpacing/>
    </w:pPr>
  </w:style>
  <w:style w:type="paragraph" w:styleId="NormalWeb">
    <w:name w:val="Normal (Web)"/>
    <w:basedOn w:val="Normal"/>
    <w:uiPriority w:val="99"/>
    <w:unhideWhenUsed/>
    <w:rsid w:val="00C828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82841"/>
    <w:rPr>
      <w:color w:val="0563C1" w:themeColor="hyperlink"/>
      <w:u w:val="single"/>
    </w:rPr>
  </w:style>
  <w:style w:type="character" w:customStyle="1" w:styleId="Heading1Char">
    <w:name w:val="Heading 1 Char"/>
    <w:basedOn w:val="DefaultParagraphFont"/>
    <w:link w:val="Heading1"/>
    <w:uiPriority w:val="9"/>
    <w:rsid w:val="000F3929"/>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115775"/>
    <w:rPr>
      <w:rFonts w:ascii="Segoe UI" w:hAnsi="Segoe UI" w:cs="Segoe UI" w:hint="default"/>
      <w:sz w:val="18"/>
      <w:szCs w:val="18"/>
    </w:rPr>
  </w:style>
  <w:style w:type="character" w:styleId="UnresolvedMention">
    <w:name w:val="Unresolved Mention"/>
    <w:basedOn w:val="DefaultParagraphFont"/>
    <w:uiPriority w:val="99"/>
    <w:semiHidden/>
    <w:unhideWhenUsed/>
    <w:rsid w:val="00D25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6">
      <w:bodyDiv w:val="1"/>
      <w:marLeft w:val="0"/>
      <w:marRight w:val="0"/>
      <w:marTop w:val="0"/>
      <w:marBottom w:val="0"/>
      <w:divBdr>
        <w:top w:val="none" w:sz="0" w:space="0" w:color="auto"/>
        <w:left w:val="none" w:sz="0" w:space="0" w:color="auto"/>
        <w:bottom w:val="none" w:sz="0" w:space="0" w:color="auto"/>
        <w:right w:val="none" w:sz="0" w:space="0" w:color="auto"/>
      </w:divBdr>
    </w:div>
    <w:div w:id="406070774">
      <w:bodyDiv w:val="1"/>
      <w:marLeft w:val="0"/>
      <w:marRight w:val="0"/>
      <w:marTop w:val="0"/>
      <w:marBottom w:val="0"/>
      <w:divBdr>
        <w:top w:val="none" w:sz="0" w:space="0" w:color="auto"/>
        <w:left w:val="none" w:sz="0" w:space="0" w:color="auto"/>
        <w:bottom w:val="none" w:sz="0" w:space="0" w:color="auto"/>
        <w:right w:val="none" w:sz="0" w:space="0" w:color="auto"/>
      </w:divBdr>
    </w:div>
    <w:div w:id="1472674191">
      <w:bodyDiv w:val="1"/>
      <w:marLeft w:val="0"/>
      <w:marRight w:val="0"/>
      <w:marTop w:val="0"/>
      <w:marBottom w:val="0"/>
      <w:divBdr>
        <w:top w:val="none" w:sz="0" w:space="0" w:color="auto"/>
        <w:left w:val="none" w:sz="0" w:space="0" w:color="auto"/>
        <w:bottom w:val="none" w:sz="0" w:space="0" w:color="auto"/>
        <w:right w:val="none" w:sz="0" w:space="0" w:color="auto"/>
      </w:divBdr>
    </w:div>
    <w:div w:id="2089812277">
      <w:bodyDiv w:val="1"/>
      <w:marLeft w:val="0"/>
      <w:marRight w:val="0"/>
      <w:marTop w:val="0"/>
      <w:marBottom w:val="0"/>
      <w:divBdr>
        <w:top w:val="none" w:sz="0" w:space="0" w:color="auto"/>
        <w:left w:val="none" w:sz="0" w:space="0" w:color="auto"/>
        <w:bottom w:val="none" w:sz="0" w:space="0" w:color="auto"/>
        <w:right w:val="none" w:sz="0" w:space="0" w:color="auto"/>
      </w:divBdr>
    </w:div>
    <w:div w:id="21265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promise.scot/resources/2020/follow-the-money.pdf" TargetMode="External"/><Relationship Id="rId13" Type="http://schemas.openxmlformats.org/officeDocument/2006/relationships/image" Target="media/image2.emf"/><Relationship Id="rId18" Type="http://schemas.openxmlformats.org/officeDocument/2006/relationships/package" Target="embeddings/Microsoft_Word_Document1.doc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arereview.scot/conclusions/evidence/" TargetMode="External"/><Relationship Id="rId12" Type="http://schemas.openxmlformats.org/officeDocument/2006/relationships/hyperlink" Target="https://spice-spotlight.scot/2022/08/12/what-is-ethical-commissioning-and-why-does-it-matter/"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https://spice-spotlight.scot/2022/08/12/what-is-ethical-commissioning-and-why-does-it-matter/" TargetMode="External"/><Relationship Id="rId20" Type="http://schemas.openxmlformats.org/officeDocument/2006/relationships/hyperlink" Target="https://www.gov.scot/publications/improving-outcomes-children-young-people-families-review-childrens-services-plans-2020-2023-strategic-engagement-activity/pages/3/" TargetMode="External"/><Relationship Id="rId1" Type="http://schemas.openxmlformats.org/officeDocument/2006/relationships/numbering" Target="numbering.xml"/><Relationship Id="rId6" Type="http://schemas.openxmlformats.org/officeDocument/2006/relationships/image" Target="cid:image003.png@01D8A023.D18D5670" TargetMode="External"/><Relationship Id="rId11" Type="http://schemas.openxmlformats.org/officeDocument/2006/relationships/hyperlink" Target="https://evaluationsupportscotland.org.uk/wp-content/uploads/2020/08/mapping_outcomes_befriending_examples_from_source_to_the_sea..pdf" TargetMode="External"/><Relationship Id="rId5" Type="http://schemas.openxmlformats.org/officeDocument/2006/relationships/image" Target="media/image1.png"/><Relationship Id="rId15" Type="http://schemas.openxmlformats.org/officeDocument/2006/relationships/hyperlink" Target="https://www.gov.scot/publications/national-neurodevelopmental-specification-children-young-people-principles-standards-care/" TargetMode="External"/><Relationship Id="rId10" Type="http://schemas.openxmlformats.org/officeDocument/2006/relationships/hyperlink" Target="https://transformingpsychologicaltrauma.scot/" TargetMode="External"/><Relationship Id="rId19" Type="http://schemas.openxmlformats.org/officeDocument/2006/relationships/hyperlink" Target="https://evaluationsupportscotland.org.uk/what-we-do/work-with-scottish-government/positive-partnership/" TargetMode="External"/><Relationship Id="rId4" Type="http://schemas.openxmlformats.org/officeDocument/2006/relationships/webSettings" Target="webSettings.xml"/><Relationship Id="rId9" Type="http://schemas.openxmlformats.org/officeDocument/2006/relationships/hyperlink" Target="https://www.corra.scot/grants/revision-of-the-promise-partnership/" TargetMode="External"/><Relationship Id="rId14" Type="http://schemas.openxmlformats.org/officeDocument/2006/relationships/package" Target="embeddings/Microsoft_Word_Document.doc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4318</Words>
  <Characters>24615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Lynch</dc:creator>
  <cp:keywords/>
  <dc:description/>
  <cp:lastModifiedBy>Louise Jenkins</cp:lastModifiedBy>
  <cp:revision>2</cp:revision>
  <dcterms:created xsi:type="dcterms:W3CDTF">2023-05-19T09:31:00Z</dcterms:created>
  <dcterms:modified xsi:type="dcterms:W3CDTF">2023-05-19T09:31:00Z</dcterms:modified>
</cp:coreProperties>
</file>