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CE74B" w14:textId="77777777" w:rsidR="00A00AAF" w:rsidRDefault="00A00AAF" w:rsidP="00A00AAF">
      <w:pPr>
        <w:pStyle w:val="Title"/>
      </w:pPr>
    </w:p>
    <w:p w14:paraId="4B846B53" w14:textId="775E9A00" w:rsidR="00A00AAF" w:rsidRDefault="00A00AAF" w:rsidP="2C01C75F">
      <w:r>
        <w:rPr>
          <w:noProof/>
        </w:rPr>
        <w:drawing>
          <wp:inline distT="0" distB="0" distL="0" distR="0" wp14:anchorId="73E58260" wp14:editId="0AA57197">
            <wp:extent cx="1485900" cy="1857375"/>
            <wp:effectExtent l="0" t="0" r="0" b="0"/>
            <wp:docPr id="342190781" name="Picture 2115269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5269798"/>
                    <pic:cNvPicPr/>
                  </pic:nvPicPr>
                  <pic:blipFill>
                    <a:blip r:embed="rId10">
                      <a:extLst>
                        <a:ext uri="{28A0092B-C50C-407E-A947-70E740481C1C}">
                          <a14:useLocalDpi xmlns:a14="http://schemas.microsoft.com/office/drawing/2010/main" val="0"/>
                        </a:ext>
                      </a:extLst>
                    </a:blip>
                    <a:stretch>
                      <a:fillRect/>
                    </a:stretch>
                  </pic:blipFill>
                  <pic:spPr>
                    <a:xfrm>
                      <a:off x="0" y="0"/>
                      <a:ext cx="1485900" cy="1857375"/>
                    </a:xfrm>
                    <a:prstGeom prst="rect">
                      <a:avLst/>
                    </a:prstGeom>
                  </pic:spPr>
                </pic:pic>
              </a:graphicData>
            </a:graphic>
          </wp:inline>
        </w:drawing>
      </w:r>
    </w:p>
    <w:p w14:paraId="740CD1BD" w14:textId="0860F6B6" w:rsidR="00A00AAF" w:rsidRDefault="00A00AAF" w:rsidP="00A00AAF">
      <w:pPr>
        <w:pStyle w:val="Title"/>
      </w:pPr>
    </w:p>
    <w:p w14:paraId="1D4423D9" w14:textId="77777777" w:rsidR="00A00AAF" w:rsidRDefault="00A00AAF" w:rsidP="00A00AAF">
      <w:pPr>
        <w:pStyle w:val="Title"/>
      </w:pPr>
    </w:p>
    <w:p w14:paraId="47DD48F8" w14:textId="5A1FF47A" w:rsidR="00A00AAF" w:rsidRDefault="00A00AAF" w:rsidP="00A00AAF">
      <w:pPr>
        <w:pStyle w:val="Title"/>
      </w:pPr>
      <w:r>
        <w:t>Information Security Policy</w:t>
      </w:r>
    </w:p>
    <w:p w14:paraId="16F2D273" w14:textId="20B9A84F" w:rsidR="00A00AAF" w:rsidRDefault="00A00AAF" w:rsidP="14656ABD">
      <w:pPr>
        <w:pStyle w:val="Subtitle"/>
      </w:pPr>
      <w:r>
        <w:t>V</w:t>
      </w:r>
      <w:r w:rsidR="00146ECA">
        <w:t>1.</w:t>
      </w:r>
      <w:r w:rsidR="00337483">
        <w:t>2</w:t>
      </w:r>
    </w:p>
    <w:p w14:paraId="0D7AA702" w14:textId="01A651FF" w:rsidR="00337483" w:rsidRPr="00337483" w:rsidRDefault="00F2250D" w:rsidP="00337483">
      <w:r>
        <w:t>01 July</w:t>
      </w:r>
      <w:r w:rsidR="00337483">
        <w:t xml:space="preserve"> 2020</w:t>
      </w:r>
    </w:p>
    <w:p w14:paraId="7FBC214E" w14:textId="10EDD5E9" w:rsidR="14656ABD" w:rsidRDefault="14656ABD" w:rsidP="14656ABD"/>
    <w:p w14:paraId="4E2BD75E" w14:textId="77777777" w:rsidR="00146ECA" w:rsidRDefault="00146ECA">
      <w:pPr>
        <w:rPr>
          <w:rFonts w:asciiTheme="majorHAnsi" w:eastAsiaTheme="majorEastAsia" w:hAnsiTheme="majorHAnsi" w:cstheme="majorBidi"/>
          <w:color w:val="2F5496" w:themeColor="accent1" w:themeShade="BF"/>
          <w:sz w:val="32"/>
          <w:szCs w:val="32"/>
        </w:rPr>
      </w:pPr>
    </w:p>
    <w:p w14:paraId="1B237782" w14:textId="77777777" w:rsidR="00146ECA" w:rsidRDefault="00146ECA">
      <w:pPr>
        <w:rPr>
          <w:rFonts w:asciiTheme="majorHAnsi" w:eastAsiaTheme="majorEastAsia" w:hAnsiTheme="majorHAnsi" w:cstheme="majorBidi"/>
          <w:color w:val="2F5496" w:themeColor="accent1" w:themeShade="BF"/>
          <w:sz w:val="32"/>
          <w:szCs w:val="32"/>
        </w:rPr>
      </w:pPr>
    </w:p>
    <w:p w14:paraId="0306EB14" w14:textId="77777777" w:rsidR="00146ECA" w:rsidRDefault="00146ECA">
      <w:pPr>
        <w:rPr>
          <w:rFonts w:asciiTheme="majorHAnsi" w:eastAsiaTheme="majorEastAsia" w:hAnsiTheme="majorHAnsi" w:cstheme="majorBidi"/>
          <w:color w:val="2F5496" w:themeColor="accent1" w:themeShade="BF"/>
          <w:sz w:val="32"/>
          <w:szCs w:val="32"/>
        </w:rPr>
      </w:pPr>
    </w:p>
    <w:p w14:paraId="15AF3245" w14:textId="77777777" w:rsidR="00146ECA" w:rsidRDefault="00146ECA">
      <w:pPr>
        <w:rPr>
          <w:rFonts w:asciiTheme="majorHAnsi" w:eastAsiaTheme="majorEastAsia" w:hAnsiTheme="majorHAnsi" w:cstheme="majorBidi"/>
          <w:color w:val="2F5496" w:themeColor="accent1" w:themeShade="BF"/>
          <w:sz w:val="32"/>
          <w:szCs w:val="32"/>
        </w:rPr>
      </w:pPr>
    </w:p>
    <w:p w14:paraId="0AE4A521" w14:textId="77777777" w:rsidR="00146ECA" w:rsidRDefault="00146ECA">
      <w:pPr>
        <w:rPr>
          <w:rFonts w:asciiTheme="majorHAnsi" w:eastAsiaTheme="majorEastAsia" w:hAnsiTheme="majorHAnsi" w:cstheme="majorBidi"/>
          <w:color w:val="2F5496" w:themeColor="accent1" w:themeShade="BF"/>
          <w:sz w:val="32"/>
          <w:szCs w:val="32"/>
        </w:rPr>
      </w:pPr>
    </w:p>
    <w:p w14:paraId="0436F219" w14:textId="77777777" w:rsidR="00146ECA" w:rsidRDefault="00146ECA">
      <w:pPr>
        <w:rPr>
          <w:rFonts w:asciiTheme="majorHAnsi" w:eastAsiaTheme="majorEastAsia" w:hAnsiTheme="majorHAnsi" w:cstheme="majorBidi"/>
          <w:color w:val="2F5496" w:themeColor="accent1" w:themeShade="BF"/>
          <w:sz w:val="32"/>
          <w:szCs w:val="32"/>
        </w:rPr>
      </w:pPr>
    </w:p>
    <w:p w14:paraId="4E853ABD" w14:textId="77777777" w:rsidR="00146ECA" w:rsidRDefault="00146ECA">
      <w:pPr>
        <w:rPr>
          <w:rFonts w:asciiTheme="majorHAnsi" w:eastAsiaTheme="majorEastAsia" w:hAnsiTheme="majorHAnsi" w:cstheme="majorBidi"/>
          <w:color w:val="2F5496" w:themeColor="accent1" w:themeShade="BF"/>
          <w:sz w:val="32"/>
          <w:szCs w:val="32"/>
        </w:rPr>
      </w:pPr>
    </w:p>
    <w:p w14:paraId="5F11FA46" w14:textId="77777777" w:rsidR="00146ECA" w:rsidRDefault="00146ECA">
      <w:pPr>
        <w:rPr>
          <w:rFonts w:asciiTheme="majorHAnsi" w:eastAsiaTheme="majorEastAsia" w:hAnsiTheme="majorHAnsi" w:cstheme="majorBidi"/>
          <w:color w:val="2F5496" w:themeColor="accent1" w:themeShade="BF"/>
          <w:sz w:val="32"/>
          <w:szCs w:val="32"/>
        </w:rPr>
      </w:pPr>
    </w:p>
    <w:p w14:paraId="5AC646C1" w14:textId="77777777" w:rsidR="00146ECA" w:rsidRDefault="00146ECA">
      <w:pPr>
        <w:rPr>
          <w:rFonts w:asciiTheme="majorHAnsi" w:eastAsiaTheme="majorEastAsia" w:hAnsiTheme="majorHAnsi" w:cstheme="majorBidi"/>
          <w:color w:val="2F5496" w:themeColor="accent1" w:themeShade="BF"/>
          <w:sz w:val="32"/>
          <w:szCs w:val="32"/>
        </w:rPr>
      </w:pPr>
    </w:p>
    <w:p w14:paraId="0F0ADCE7" w14:textId="77777777" w:rsidR="00146ECA" w:rsidRDefault="00146ECA">
      <w:pPr>
        <w:rPr>
          <w:rFonts w:asciiTheme="majorHAnsi" w:eastAsiaTheme="majorEastAsia" w:hAnsiTheme="majorHAnsi" w:cstheme="majorBidi"/>
          <w:color w:val="2F5496" w:themeColor="accent1" w:themeShade="BF"/>
          <w:sz w:val="32"/>
          <w:szCs w:val="32"/>
        </w:rPr>
      </w:pPr>
    </w:p>
    <w:p w14:paraId="7767F2D4" w14:textId="77777777" w:rsidR="00146ECA" w:rsidRDefault="00146ECA">
      <w:pPr>
        <w:rPr>
          <w:rFonts w:asciiTheme="majorHAnsi" w:eastAsiaTheme="majorEastAsia" w:hAnsiTheme="majorHAnsi" w:cstheme="majorBidi"/>
          <w:color w:val="2F5496" w:themeColor="accent1" w:themeShade="BF"/>
          <w:sz w:val="32"/>
          <w:szCs w:val="32"/>
        </w:rPr>
      </w:pPr>
    </w:p>
    <w:p w14:paraId="2AD554FD" w14:textId="77777777" w:rsidR="00146ECA" w:rsidRDefault="00146ECA">
      <w:pPr>
        <w:rPr>
          <w:rFonts w:asciiTheme="majorHAnsi" w:eastAsiaTheme="majorEastAsia" w:hAnsiTheme="majorHAnsi" w:cstheme="majorBidi"/>
          <w:color w:val="2F5496" w:themeColor="accent1" w:themeShade="BF"/>
          <w:sz w:val="32"/>
          <w:szCs w:val="32"/>
        </w:rPr>
      </w:pPr>
    </w:p>
    <w:p w14:paraId="525CFEEE" w14:textId="77777777" w:rsidR="00146ECA" w:rsidRDefault="00146ECA">
      <w:pPr>
        <w:rPr>
          <w:rFonts w:asciiTheme="majorHAnsi" w:eastAsiaTheme="majorEastAsia" w:hAnsiTheme="majorHAnsi" w:cstheme="majorBidi"/>
          <w:color w:val="2F5496" w:themeColor="accent1" w:themeShade="BF"/>
          <w:sz w:val="32"/>
          <w:szCs w:val="32"/>
        </w:rPr>
      </w:pPr>
    </w:p>
    <w:p w14:paraId="045B17D4" w14:textId="77777777" w:rsidR="00146ECA" w:rsidRDefault="00146ECA">
      <w:pPr>
        <w:rPr>
          <w:rFonts w:asciiTheme="majorHAnsi" w:eastAsiaTheme="majorEastAsia" w:hAnsiTheme="majorHAnsi" w:cstheme="majorBidi"/>
          <w:color w:val="2F5496" w:themeColor="accent1" w:themeShade="BF"/>
          <w:sz w:val="32"/>
          <w:szCs w:val="32"/>
        </w:rPr>
      </w:pPr>
    </w:p>
    <w:p w14:paraId="697A703A" w14:textId="77777777" w:rsidR="00146ECA" w:rsidRDefault="00146ECA">
      <w:pPr>
        <w:rPr>
          <w:rFonts w:asciiTheme="majorHAnsi" w:eastAsiaTheme="majorEastAsia" w:hAnsiTheme="majorHAnsi" w:cstheme="majorBidi"/>
          <w:color w:val="2F5496" w:themeColor="accent1" w:themeShade="BF"/>
          <w:sz w:val="32"/>
          <w:szCs w:val="32"/>
        </w:rPr>
      </w:pPr>
    </w:p>
    <w:p w14:paraId="6D338D14" w14:textId="77777777" w:rsidR="00146ECA" w:rsidRDefault="00146ECA">
      <w:pPr>
        <w:rPr>
          <w:rFonts w:asciiTheme="majorHAnsi" w:eastAsiaTheme="majorEastAsia" w:hAnsiTheme="majorHAnsi" w:cstheme="majorBidi"/>
          <w:color w:val="2F5496" w:themeColor="accent1" w:themeShade="BF"/>
          <w:sz w:val="32"/>
          <w:szCs w:val="32"/>
        </w:rPr>
      </w:pPr>
    </w:p>
    <w:p w14:paraId="4BCBEE69" w14:textId="77777777" w:rsidR="00146ECA" w:rsidRDefault="00146ECA">
      <w:pPr>
        <w:rPr>
          <w:rFonts w:asciiTheme="majorHAnsi" w:eastAsiaTheme="majorEastAsia" w:hAnsiTheme="majorHAnsi" w:cstheme="majorBidi"/>
          <w:color w:val="2F5496" w:themeColor="accent1" w:themeShade="BF"/>
          <w:sz w:val="32"/>
          <w:szCs w:val="32"/>
        </w:rPr>
      </w:pPr>
    </w:p>
    <w:p w14:paraId="58DC7951" w14:textId="77777777" w:rsidR="00146ECA" w:rsidRDefault="00146ECA">
      <w:pPr>
        <w:rPr>
          <w:rFonts w:asciiTheme="majorHAnsi" w:eastAsiaTheme="majorEastAsia" w:hAnsiTheme="majorHAnsi" w:cstheme="majorBidi"/>
          <w:color w:val="2F5496" w:themeColor="accent1" w:themeShade="BF"/>
          <w:sz w:val="32"/>
          <w:szCs w:val="32"/>
        </w:rPr>
      </w:pPr>
    </w:p>
    <w:p w14:paraId="7DDD81B2" w14:textId="77777777" w:rsidR="00146ECA" w:rsidRDefault="00146ECA">
      <w:pPr>
        <w:rPr>
          <w:rFonts w:asciiTheme="majorHAnsi" w:eastAsiaTheme="majorEastAsia" w:hAnsiTheme="majorHAnsi" w:cstheme="majorBidi"/>
          <w:color w:val="2F5496" w:themeColor="accent1" w:themeShade="BF"/>
          <w:sz w:val="32"/>
          <w:szCs w:val="32"/>
        </w:rPr>
      </w:pPr>
    </w:p>
    <w:p w14:paraId="73A079EA" w14:textId="77777777" w:rsidR="00146ECA" w:rsidRDefault="00146ECA">
      <w:pPr>
        <w:rPr>
          <w:rFonts w:asciiTheme="majorHAnsi" w:eastAsiaTheme="majorEastAsia" w:hAnsiTheme="majorHAnsi" w:cstheme="majorBidi"/>
          <w:color w:val="2F5496" w:themeColor="accent1" w:themeShade="BF"/>
          <w:sz w:val="32"/>
          <w:szCs w:val="32"/>
        </w:rPr>
      </w:pPr>
    </w:p>
    <w:p w14:paraId="02FB4A3E" w14:textId="77777777" w:rsidR="00146ECA" w:rsidRPr="00605447" w:rsidRDefault="00146ECA" w:rsidP="00146ECA">
      <w:pPr>
        <w:rPr>
          <w:b/>
        </w:rPr>
      </w:pPr>
    </w:p>
    <w:tbl>
      <w:tblPr>
        <w:tblStyle w:val="LightShading-Accent1"/>
        <w:tblW w:w="9395" w:type="dxa"/>
        <w:tblLayout w:type="fixed"/>
        <w:tblLook w:val="04A0" w:firstRow="1" w:lastRow="0" w:firstColumn="1" w:lastColumn="0" w:noHBand="0" w:noVBand="1"/>
      </w:tblPr>
      <w:tblGrid>
        <w:gridCol w:w="2192"/>
        <w:gridCol w:w="2192"/>
        <w:gridCol w:w="1394"/>
        <w:gridCol w:w="3617"/>
      </w:tblGrid>
      <w:tr w:rsidR="00146ECA" w:rsidRPr="00FC332E" w14:paraId="13870057" w14:textId="77777777" w:rsidTr="007615A1">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192" w:type="dxa"/>
          </w:tcPr>
          <w:p w14:paraId="7D5BEEC2" w14:textId="77777777" w:rsidR="00146ECA" w:rsidRPr="00FC332E" w:rsidRDefault="00146ECA" w:rsidP="007615A1">
            <w:pPr>
              <w:rPr>
                <w:rFonts w:cs="Tahoma"/>
                <w:sz w:val="18"/>
                <w:szCs w:val="18"/>
              </w:rPr>
            </w:pPr>
            <w:r w:rsidRPr="00FC332E">
              <w:rPr>
                <w:rFonts w:cs="Tahoma"/>
                <w:sz w:val="18"/>
                <w:szCs w:val="18"/>
              </w:rPr>
              <w:t>Document Title</w:t>
            </w:r>
          </w:p>
        </w:tc>
        <w:tc>
          <w:tcPr>
            <w:tcW w:w="7203" w:type="dxa"/>
            <w:gridSpan w:val="3"/>
          </w:tcPr>
          <w:p w14:paraId="4AE37832" w14:textId="2EAA64EE" w:rsidR="00146ECA" w:rsidRPr="00FC332E" w:rsidRDefault="00057318" w:rsidP="007615A1">
            <w:pPr>
              <w:cnfStyle w:val="100000000000" w:firstRow="1" w:lastRow="0" w:firstColumn="0" w:lastColumn="0" w:oddVBand="0" w:evenVBand="0" w:oddHBand="0" w:evenHBand="0" w:firstRowFirstColumn="0" w:firstRowLastColumn="0" w:lastRowFirstColumn="0" w:lastRowLastColumn="0"/>
              <w:rPr>
                <w:rFonts w:cs="Tahoma"/>
                <w:b w:val="0"/>
                <w:sz w:val="18"/>
                <w:szCs w:val="18"/>
              </w:rPr>
            </w:pPr>
            <w:sdt>
              <w:sdtPr>
                <w:rPr>
                  <w:sz w:val="18"/>
                  <w:szCs w:val="18"/>
                </w:rPr>
                <w:alias w:val="Title"/>
                <w:tag w:val=""/>
                <w:id w:val="-735935538"/>
                <w:placeholder>
                  <w:docPart w:val="135C37A820DF4588A0F5AC9E7CED674E"/>
                </w:placeholder>
                <w:dataBinding w:prefixMappings="xmlns:ns0='http://purl.org/dc/elements/1.1/' xmlns:ns1='http://schemas.openxmlformats.org/package/2006/metadata/core-properties' " w:xpath="/ns1:coreProperties[1]/ns0:title[1]" w:storeItemID="{6C3C8BC8-F283-45AE-878A-BAB7291924A1}"/>
                <w:text/>
              </w:sdtPr>
              <w:sdtEndPr/>
              <w:sdtContent>
                <w:r w:rsidR="00146ECA">
                  <w:rPr>
                    <w:sz w:val="18"/>
                    <w:szCs w:val="18"/>
                  </w:rPr>
                  <w:t>Information Security Policy</w:t>
                </w:r>
              </w:sdtContent>
            </w:sdt>
            <w:r w:rsidR="00146ECA" w:rsidRPr="00FC332E">
              <w:rPr>
                <w:sz w:val="18"/>
                <w:szCs w:val="18"/>
              </w:rPr>
              <w:fldChar w:fldCharType="begin"/>
            </w:r>
            <w:r w:rsidR="00146ECA" w:rsidRPr="00FC332E">
              <w:rPr>
                <w:b w:val="0"/>
                <w:sz w:val="18"/>
                <w:szCs w:val="18"/>
              </w:rPr>
              <w:instrText xml:space="preserve"> TITLE  \* Caps  \* MERGEFORMAT </w:instrText>
            </w:r>
            <w:r w:rsidR="00146ECA" w:rsidRPr="00FC332E">
              <w:rPr>
                <w:sz w:val="18"/>
                <w:szCs w:val="18"/>
              </w:rPr>
              <w:fldChar w:fldCharType="end"/>
            </w:r>
          </w:p>
        </w:tc>
      </w:tr>
      <w:tr w:rsidR="00146ECA" w:rsidRPr="00FC332E" w14:paraId="124BDB8A" w14:textId="77777777" w:rsidTr="007615A1">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192" w:type="dxa"/>
          </w:tcPr>
          <w:p w14:paraId="3D24CBD8" w14:textId="77777777" w:rsidR="00146ECA" w:rsidRPr="00FC332E" w:rsidRDefault="00146ECA" w:rsidP="007615A1">
            <w:pPr>
              <w:rPr>
                <w:rFonts w:cs="Tahoma"/>
                <w:sz w:val="18"/>
                <w:szCs w:val="18"/>
              </w:rPr>
            </w:pPr>
            <w:r w:rsidRPr="00FC332E">
              <w:rPr>
                <w:rFonts w:cs="Tahoma"/>
                <w:sz w:val="18"/>
                <w:szCs w:val="18"/>
              </w:rPr>
              <w:t>Issue Status</w:t>
            </w:r>
          </w:p>
        </w:tc>
        <w:tc>
          <w:tcPr>
            <w:tcW w:w="2192" w:type="dxa"/>
          </w:tcPr>
          <w:p w14:paraId="47ACE6D3" w14:textId="70104433" w:rsidR="00146ECA" w:rsidRPr="00FC332E" w:rsidRDefault="00146ECA" w:rsidP="007615A1">
            <w:pPr>
              <w:cnfStyle w:val="000000100000" w:firstRow="0" w:lastRow="0" w:firstColumn="0" w:lastColumn="0" w:oddVBand="0" w:evenVBand="0" w:oddHBand="1" w:evenHBand="0" w:firstRowFirstColumn="0" w:firstRowLastColumn="0" w:lastRowFirstColumn="0" w:lastRowLastColumn="0"/>
              <w:rPr>
                <w:rFonts w:cs="Tahoma"/>
                <w:sz w:val="18"/>
                <w:szCs w:val="18"/>
              </w:rPr>
            </w:pPr>
            <w:r w:rsidRPr="00FC332E">
              <w:rPr>
                <w:rFonts w:cs="Tahoma"/>
                <w:sz w:val="18"/>
                <w:szCs w:val="18"/>
              </w:rPr>
              <w:t>V</w:t>
            </w:r>
            <w:r>
              <w:rPr>
                <w:rFonts w:cs="Tahoma"/>
                <w:sz w:val="18"/>
                <w:szCs w:val="18"/>
              </w:rPr>
              <w:t>1.</w:t>
            </w:r>
            <w:r w:rsidR="00F2250D">
              <w:rPr>
                <w:rFonts w:cs="Tahoma"/>
                <w:sz w:val="18"/>
                <w:szCs w:val="18"/>
              </w:rPr>
              <w:t>2</w:t>
            </w:r>
          </w:p>
        </w:tc>
        <w:tc>
          <w:tcPr>
            <w:tcW w:w="1394" w:type="dxa"/>
          </w:tcPr>
          <w:p w14:paraId="4F1FFFD2" w14:textId="77777777" w:rsidR="00146ECA" w:rsidRPr="00FC332E" w:rsidRDefault="00146ECA" w:rsidP="007615A1">
            <w:pPr>
              <w:cnfStyle w:val="000000100000" w:firstRow="0" w:lastRow="0" w:firstColumn="0" w:lastColumn="0" w:oddVBand="0" w:evenVBand="0" w:oddHBand="1" w:evenHBand="0" w:firstRowFirstColumn="0" w:firstRowLastColumn="0" w:lastRowFirstColumn="0" w:lastRowLastColumn="0"/>
              <w:rPr>
                <w:rFonts w:cs="Tahoma"/>
                <w:b/>
                <w:sz w:val="18"/>
                <w:szCs w:val="18"/>
              </w:rPr>
            </w:pPr>
            <w:r w:rsidRPr="00FC332E">
              <w:rPr>
                <w:rFonts w:cs="Tahoma"/>
                <w:b/>
                <w:sz w:val="18"/>
                <w:szCs w:val="18"/>
              </w:rPr>
              <w:t>Issue Date</w:t>
            </w:r>
          </w:p>
        </w:tc>
        <w:tc>
          <w:tcPr>
            <w:tcW w:w="3617" w:type="dxa"/>
          </w:tcPr>
          <w:p w14:paraId="19A60CF5" w14:textId="67057BBA" w:rsidR="00146ECA" w:rsidRPr="00FC332E" w:rsidRDefault="00F2250D" w:rsidP="007615A1">
            <w:pPr>
              <w:cnfStyle w:val="000000100000" w:firstRow="0" w:lastRow="0" w:firstColumn="0" w:lastColumn="0" w:oddVBand="0" w:evenVBand="0" w:oddHBand="1" w:evenHBand="0" w:firstRowFirstColumn="0" w:firstRowLastColumn="0" w:lastRowFirstColumn="0" w:lastRowLastColumn="0"/>
              <w:rPr>
                <w:rFonts w:cs="Tahoma"/>
                <w:sz w:val="18"/>
                <w:szCs w:val="18"/>
              </w:rPr>
            </w:pPr>
            <w:r>
              <w:rPr>
                <w:rFonts w:cs="Tahoma"/>
                <w:sz w:val="18"/>
                <w:szCs w:val="18"/>
              </w:rPr>
              <w:t>01</w:t>
            </w:r>
            <w:r w:rsidR="00146ECA">
              <w:rPr>
                <w:rFonts w:cs="Tahoma"/>
                <w:sz w:val="18"/>
                <w:szCs w:val="18"/>
              </w:rPr>
              <w:t>/0</w:t>
            </w:r>
            <w:r>
              <w:rPr>
                <w:rFonts w:cs="Tahoma"/>
                <w:sz w:val="18"/>
                <w:szCs w:val="18"/>
              </w:rPr>
              <w:t>7</w:t>
            </w:r>
            <w:r w:rsidR="00146ECA">
              <w:rPr>
                <w:rFonts w:cs="Tahoma"/>
                <w:sz w:val="18"/>
                <w:szCs w:val="18"/>
              </w:rPr>
              <w:t>/20</w:t>
            </w:r>
            <w:r>
              <w:rPr>
                <w:rFonts w:cs="Tahoma"/>
                <w:sz w:val="18"/>
                <w:szCs w:val="18"/>
              </w:rPr>
              <w:t>20</w:t>
            </w:r>
          </w:p>
        </w:tc>
      </w:tr>
      <w:tr w:rsidR="00146ECA" w:rsidRPr="00FC332E" w14:paraId="1190F1E3" w14:textId="77777777" w:rsidTr="007615A1">
        <w:trPr>
          <w:trHeight w:val="222"/>
        </w:trPr>
        <w:tc>
          <w:tcPr>
            <w:cnfStyle w:val="001000000000" w:firstRow="0" w:lastRow="0" w:firstColumn="1" w:lastColumn="0" w:oddVBand="0" w:evenVBand="0" w:oddHBand="0" w:evenHBand="0" w:firstRowFirstColumn="0" w:firstRowLastColumn="0" w:lastRowFirstColumn="0" w:lastRowLastColumn="0"/>
            <w:tcW w:w="2192" w:type="dxa"/>
          </w:tcPr>
          <w:p w14:paraId="0331EA05" w14:textId="77777777" w:rsidR="00146ECA" w:rsidRPr="00FC332E" w:rsidRDefault="00146ECA" w:rsidP="007615A1">
            <w:pPr>
              <w:rPr>
                <w:rFonts w:cs="Tahoma"/>
                <w:sz w:val="18"/>
                <w:szCs w:val="18"/>
              </w:rPr>
            </w:pPr>
            <w:r w:rsidRPr="00FC332E">
              <w:rPr>
                <w:rFonts w:cs="Tahoma"/>
                <w:sz w:val="18"/>
                <w:szCs w:val="18"/>
              </w:rPr>
              <w:t>Author</w:t>
            </w:r>
          </w:p>
        </w:tc>
        <w:tc>
          <w:tcPr>
            <w:tcW w:w="2192" w:type="dxa"/>
          </w:tcPr>
          <w:p w14:paraId="2CEB6DBA" w14:textId="77777777" w:rsidR="00146ECA" w:rsidRPr="00FC332E" w:rsidRDefault="00146ECA" w:rsidP="007615A1">
            <w:pPr>
              <w:cnfStyle w:val="000000000000" w:firstRow="0" w:lastRow="0" w:firstColumn="0" w:lastColumn="0" w:oddVBand="0" w:evenVBand="0" w:oddHBand="0" w:evenHBand="0" w:firstRowFirstColumn="0" w:firstRowLastColumn="0" w:lastRowFirstColumn="0" w:lastRowLastColumn="0"/>
              <w:rPr>
                <w:rFonts w:cs="Tahoma"/>
                <w:sz w:val="18"/>
                <w:szCs w:val="18"/>
              </w:rPr>
            </w:pPr>
            <w:r w:rsidRPr="00FC332E">
              <w:rPr>
                <w:rFonts w:cs="Tahoma"/>
                <w:sz w:val="18"/>
                <w:szCs w:val="18"/>
              </w:rPr>
              <w:t>Robert Clubb</w:t>
            </w:r>
          </w:p>
        </w:tc>
        <w:tc>
          <w:tcPr>
            <w:tcW w:w="1394" w:type="dxa"/>
          </w:tcPr>
          <w:p w14:paraId="5EDD3CFB" w14:textId="77777777" w:rsidR="00146ECA" w:rsidRPr="00FC332E" w:rsidRDefault="00146ECA" w:rsidP="007615A1">
            <w:pPr>
              <w:cnfStyle w:val="000000000000" w:firstRow="0" w:lastRow="0" w:firstColumn="0" w:lastColumn="0" w:oddVBand="0" w:evenVBand="0" w:oddHBand="0" w:evenHBand="0" w:firstRowFirstColumn="0" w:firstRowLastColumn="0" w:lastRowFirstColumn="0" w:lastRowLastColumn="0"/>
              <w:rPr>
                <w:rFonts w:cs="Tahoma"/>
                <w:b/>
                <w:sz w:val="18"/>
                <w:szCs w:val="18"/>
              </w:rPr>
            </w:pPr>
            <w:r w:rsidRPr="00FC332E">
              <w:rPr>
                <w:rFonts w:cs="Tahoma"/>
                <w:b/>
                <w:sz w:val="18"/>
                <w:szCs w:val="18"/>
              </w:rPr>
              <w:t>Title</w:t>
            </w:r>
          </w:p>
        </w:tc>
        <w:tc>
          <w:tcPr>
            <w:tcW w:w="3617" w:type="dxa"/>
          </w:tcPr>
          <w:p w14:paraId="687953CE" w14:textId="77777777" w:rsidR="00146ECA" w:rsidRPr="00FC332E" w:rsidRDefault="00146ECA" w:rsidP="007615A1">
            <w:pPr>
              <w:cnfStyle w:val="000000000000" w:firstRow="0" w:lastRow="0" w:firstColumn="0" w:lastColumn="0" w:oddVBand="0" w:evenVBand="0" w:oddHBand="0" w:evenHBand="0" w:firstRowFirstColumn="0" w:firstRowLastColumn="0" w:lastRowFirstColumn="0" w:lastRowLastColumn="0"/>
              <w:rPr>
                <w:rFonts w:cs="Tahoma"/>
                <w:sz w:val="18"/>
                <w:szCs w:val="18"/>
              </w:rPr>
            </w:pPr>
            <w:r>
              <w:rPr>
                <w:rFonts w:cs="Tahoma"/>
                <w:sz w:val="18"/>
                <w:szCs w:val="18"/>
              </w:rPr>
              <w:t>Chief Security Officer</w:t>
            </w:r>
          </w:p>
        </w:tc>
      </w:tr>
      <w:tr w:rsidR="00146ECA" w:rsidRPr="00FC332E" w14:paraId="341EA49C" w14:textId="77777777" w:rsidTr="007615A1">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192" w:type="dxa"/>
          </w:tcPr>
          <w:p w14:paraId="009C4219" w14:textId="77777777" w:rsidR="00146ECA" w:rsidRPr="00FC332E" w:rsidRDefault="00146ECA" w:rsidP="007615A1">
            <w:pPr>
              <w:rPr>
                <w:rFonts w:cs="Tahoma"/>
                <w:sz w:val="18"/>
                <w:szCs w:val="18"/>
              </w:rPr>
            </w:pPr>
            <w:r w:rsidRPr="00FC332E">
              <w:rPr>
                <w:rFonts w:cs="Tahoma"/>
                <w:sz w:val="18"/>
                <w:szCs w:val="18"/>
              </w:rPr>
              <w:t>Tel:</w:t>
            </w:r>
          </w:p>
        </w:tc>
        <w:tc>
          <w:tcPr>
            <w:tcW w:w="2192" w:type="dxa"/>
          </w:tcPr>
          <w:p w14:paraId="05A06824" w14:textId="77777777" w:rsidR="00146ECA" w:rsidRPr="00FC332E" w:rsidRDefault="00146ECA" w:rsidP="007615A1">
            <w:pPr>
              <w:cnfStyle w:val="000000100000" w:firstRow="0" w:lastRow="0" w:firstColumn="0" w:lastColumn="0" w:oddVBand="0" w:evenVBand="0" w:oddHBand="1" w:evenHBand="0" w:firstRowFirstColumn="0" w:firstRowLastColumn="0" w:lastRowFirstColumn="0" w:lastRowLastColumn="0"/>
              <w:rPr>
                <w:rFonts w:cs="Tahoma"/>
                <w:sz w:val="18"/>
                <w:szCs w:val="18"/>
              </w:rPr>
            </w:pPr>
          </w:p>
        </w:tc>
        <w:tc>
          <w:tcPr>
            <w:tcW w:w="1394" w:type="dxa"/>
          </w:tcPr>
          <w:p w14:paraId="75C7E340" w14:textId="77777777" w:rsidR="00146ECA" w:rsidRPr="00FC332E" w:rsidRDefault="00146ECA" w:rsidP="007615A1">
            <w:pPr>
              <w:cnfStyle w:val="000000100000" w:firstRow="0" w:lastRow="0" w:firstColumn="0" w:lastColumn="0" w:oddVBand="0" w:evenVBand="0" w:oddHBand="1" w:evenHBand="0" w:firstRowFirstColumn="0" w:firstRowLastColumn="0" w:lastRowFirstColumn="0" w:lastRowLastColumn="0"/>
              <w:rPr>
                <w:rFonts w:cs="Tahoma"/>
                <w:b/>
                <w:sz w:val="18"/>
                <w:szCs w:val="18"/>
              </w:rPr>
            </w:pPr>
            <w:r w:rsidRPr="00FC332E">
              <w:rPr>
                <w:rFonts w:cs="Tahoma"/>
                <w:b/>
                <w:sz w:val="18"/>
                <w:szCs w:val="18"/>
              </w:rPr>
              <w:t>E-Mail</w:t>
            </w:r>
          </w:p>
        </w:tc>
        <w:tc>
          <w:tcPr>
            <w:tcW w:w="3617" w:type="dxa"/>
          </w:tcPr>
          <w:p w14:paraId="1066001A" w14:textId="77777777" w:rsidR="00146ECA" w:rsidRPr="00FC332E" w:rsidRDefault="00146ECA" w:rsidP="007615A1">
            <w:pPr>
              <w:cnfStyle w:val="000000100000" w:firstRow="0" w:lastRow="0" w:firstColumn="0" w:lastColumn="0" w:oddVBand="0" w:evenVBand="0" w:oddHBand="1" w:evenHBand="0" w:firstRowFirstColumn="0" w:firstRowLastColumn="0" w:lastRowFirstColumn="0" w:lastRowLastColumn="0"/>
              <w:rPr>
                <w:rFonts w:cs="Tahoma"/>
                <w:sz w:val="18"/>
                <w:szCs w:val="18"/>
              </w:rPr>
            </w:pPr>
            <w:r w:rsidRPr="00FC332E">
              <w:rPr>
                <w:rFonts w:cs="Tahoma"/>
                <w:sz w:val="18"/>
                <w:szCs w:val="18"/>
              </w:rPr>
              <w:t>robert.clubb@improvementservice.org.uk</w:t>
            </w:r>
          </w:p>
        </w:tc>
      </w:tr>
      <w:tr w:rsidR="00146ECA" w:rsidRPr="00FC332E" w14:paraId="10B59CE6" w14:textId="77777777" w:rsidTr="007615A1">
        <w:trPr>
          <w:trHeight w:val="458"/>
        </w:trPr>
        <w:tc>
          <w:tcPr>
            <w:cnfStyle w:val="001000000000" w:firstRow="0" w:lastRow="0" w:firstColumn="1" w:lastColumn="0" w:oddVBand="0" w:evenVBand="0" w:oddHBand="0" w:evenHBand="0" w:firstRowFirstColumn="0" w:firstRowLastColumn="0" w:lastRowFirstColumn="0" w:lastRowLastColumn="0"/>
            <w:tcW w:w="2192" w:type="dxa"/>
          </w:tcPr>
          <w:p w14:paraId="169DD33C" w14:textId="77777777" w:rsidR="00146ECA" w:rsidRPr="00FC332E" w:rsidRDefault="00146ECA" w:rsidP="007615A1">
            <w:pPr>
              <w:rPr>
                <w:rFonts w:cs="Tahoma"/>
                <w:sz w:val="18"/>
                <w:szCs w:val="18"/>
              </w:rPr>
            </w:pPr>
            <w:r w:rsidRPr="00FC332E">
              <w:rPr>
                <w:rFonts w:cs="Tahoma"/>
                <w:sz w:val="18"/>
                <w:szCs w:val="18"/>
              </w:rPr>
              <w:t>Security Classification</w:t>
            </w:r>
          </w:p>
        </w:tc>
        <w:tc>
          <w:tcPr>
            <w:tcW w:w="2192" w:type="dxa"/>
          </w:tcPr>
          <w:p w14:paraId="3FBD611D" w14:textId="77777777" w:rsidR="00146ECA" w:rsidRPr="00FC332E" w:rsidRDefault="00146ECA" w:rsidP="007615A1">
            <w:pPr>
              <w:cnfStyle w:val="000000000000" w:firstRow="0" w:lastRow="0" w:firstColumn="0" w:lastColumn="0" w:oddVBand="0" w:evenVBand="0" w:oddHBand="0" w:evenHBand="0" w:firstRowFirstColumn="0" w:firstRowLastColumn="0" w:lastRowFirstColumn="0" w:lastRowLastColumn="0"/>
              <w:rPr>
                <w:rFonts w:cs="Tahoma"/>
                <w:sz w:val="18"/>
                <w:szCs w:val="18"/>
              </w:rPr>
            </w:pPr>
            <w:r>
              <w:rPr>
                <w:rFonts w:cs="Tahoma"/>
                <w:sz w:val="18"/>
                <w:szCs w:val="18"/>
              </w:rPr>
              <w:t>OFFICIAL</w:t>
            </w:r>
          </w:p>
        </w:tc>
        <w:tc>
          <w:tcPr>
            <w:tcW w:w="1394" w:type="dxa"/>
          </w:tcPr>
          <w:p w14:paraId="5F4377D7" w14:textId="77777777" w:rsidR="00146ECA" w:rsidRPr="00FC332E" w:rsidRDefault="00146ECA" w:rsidP="007615A1">
            <w:pPr>
              <w:cnfStyle w:val="000000000000" w:firstRow="0" w:lastRow="0" w:firstColumn="0" w:lastColumn="0" w:oddVBand="0" w:evenVBand="0" w:oddHBand="0" w:evenHBand="0" w:firstRowFirstColumn="0" w:firstRowLastColumn="0" w:lastRowFirstColumn="0" w:lastRowLastColumn="0"/>
              <w:rPr>
                <w:rFonts w:cs="Tahoma"/>
                <w:b/>
                <w:sz w:val="18"/>
                <w:szCs w:val="18"/>
              </w:rPr>
            </w:pPr>
            <w:r w:rsidRPr="00FC332E">
              <w:rPr>
                <w:rFonts w:cs="Tahoma"/>
                <w:b/>
                <w:sz w:val="18"/>
                <w:szCs w:val="18"/>
              </w:rPr>
              <w:t>Retention Period</w:t>
            </w:r>
          </w:p>
        </w:tc>
        <w:tc>
          <w:tcPr>
            <w:tcW w:w="3617" w:type="dxa"/>
          </w:tcPr>
          <w:p w14:paraId="3A5958EF" w14:textId="77777777" w:rsidR="00146ECA" w:rsidRPr="00FC332E" w:rsidRDefault="00146ECA" w:rsidP="007615A1">
            <w:pPr>
              <w:cnfStyle w:val="000000000000" w:firstRow="0" w:lastRow="0" w:firstColumn="0" w:lastColumn="0" w:oddVBand="0" w:evenVBand="0" w:oddHBand="0" w:evenHBand="0" w:firstRowFirstColumn="0" w:firstRowLastColumn="0" w:lastRowFirstColumn="0" w:lastRowLastColumn="0"/>
              <w:rPr>
                <w:rFonts w:cs="Tahoma"/>
                <w:sz w:val="18"/>
                <w:szCs w:val="18"/>
              </w:rPr>
            </w:pPr>
            <w:r w:rsidRPr="00FC332E">
              <w:rPr>
                <w:rFonts w:cs="Tahoma"/>
                <w:sz w:val="18"/>
                <w:szCs w:val="18"/>
              </w:rPr>
              <w:t>Per policy</w:t>
            </w:r>
          </w:p>
        </w:tc>
      </w:tr>
      <w:tr w:rsidR="00146ECA" w:rsidRPr="00FC332E" w14:paraId="2BC24498" w14:textId="77777777" w:rsidTr="007615A1">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2192" w:type="dxa"/>
          </w:tcPr>
          <w:p w14:paraId="2250CF64" w14:textId="77777777" w:rsidR="00146ECA" w:rsidRPr="00FC332E" w:rsidRDefault="00146ECA" w:rsidP="007615A1">
            <w:pPr>
              <w:rPr>
                <w:rFonts w:cs="Tahoma"/>
                <w:sz w:val="18"/>
                <w:szCs w:val="18"/>
              </w:rPr>
            </w:pPr>
            <w:r w:rsidRPr="00FC332E">
              <w:rPr>
                <w:rFonts w:cs="Tahoma"/>
                <w:sz w:val="18"/>
                <w:szCs w:val="18"/>
              </w:rPr>
              <w:t>Review Period</w:t>
            </w:r>
          </w:p>
        </w:tc>
        <w:tc>
          <w:tcPr>
            <w:tcW w:w="2192" w:type="dxa"/>
          </w:tcPr>
          <w:p w14:paraId="1130ECC6" w14:textId="77777777" w:rsidR="00146ECA" w:rsidRPr="00FC332E" w:rsidRDefault="00146ECA" w:rsidP="007615A1">
            <w:pPr>
              <w:cnfStyle w:val="000000100000" w:firstRow="0" w:lastRow="0" w:firstColumn="0" w:lastColumn="0" w:oddVBand="0" w:evenVBand="0" w:oddHBand="1" w:evenHBand="0" w:firstRowFirstColumn="0" w:firstRowLastColumn="0" w:lastRowFirstColumn="0" w:lastRowLastColumn="0"/>
              <w:rPr>
                <w:rFonts w:cs="Tahoma"/>
                <w:sz w:val="18"/>
                <w:szCs w:val="18"/>
              </w:rPr>
            </w:pPr>
            <w:r>
              <w:rPr>
                <w:rFonts w:cs="Tahoma"/>
                <w:sz w:val="18"/>
                <w:szCs w:val="18"/>
              </w:rPr>
              <w:t>Annual</w:t>
            </w:r>
          </w:p>
        </w:tc>
        <w:tc>
          <w:tcPr>
            <w:tcW w:w="1394" w:type="dxa"/>
          </w:tcPr>
          <w:p w14:paraId="1CF8194F" w14:textId="77777777" w:rsidR="00146ECA" w:rsidRPr="00FC332E" w:rsidRDefault="00146ECA" w:rsidP="007615A1">
            <w:pPr>
              <w:cnfStyle w:val="000000100000" w:firstRow="0" w:lastRow="0" w:firstColumn="0" w:lastColumn="0" w:oddVBand="0" w:evenVBand="0" w:oddHBand="1" w:evenHBand="0" w:firstRowFirstColumn="0" w:firstRowLastColumn="0" w:lastRowFirstColumn="0" w:lastRowLastColumn="0"/>
              <w:rPr>
                <w:rFonts w:cs="Tahoma"/>
                <w:b/>
                <w:sz w:val="18"/>
                <w:szCs w:val="18"/>
              </w:rPr>
            </w:pPr>
            <w:r>
              <w:rPr>
                <w:rFonts w:cs="Tahoma"/>
                <w:b/>
                <w:sz w:val="18"/>
                <w:szCs w:val="18"/>
              </w:rPr>
              <w:t>Last Reviewed</w:t>
            </w:r>
          </w:p>
        </w:tc>
        <w:tc>
          <w:tcPr>
            <w:tcW w:w="3617" w:type="dxa"/>
          </w:tcPr>
          <w:p w14:paraId="74EFBA12" w14:textId="39ACAE26" w:rsidR="00146ECA" w:rsidRPr="00FC332E" w:rsidRDefault="001D1715" w:rsidP="007615A1">
            <w:pPr>
              <w:cnfStyle w:val="000000100000" w:firstRow="0" w:lastRow="0" w:firstColumn="0" w:lastColumn="0" w:oddVBand="0" w:evenVBand="0" w:oddHBand="1" w:evenHBand="0" w:firstRowFirstColumn="0" w:firstRowLastColumn="0" w:lastRowFirstColumn="0" w:lastRowLastColumn="0"/>
              <w:rPr>
                <w:rFonts w:cs="Tahoma"/>
                <w:b/>
                <w:sz w:val="18"/>
                <w:szCs w:val="18"/>
              </w:rPr>
            </w:pPr>
            <w:r>
              <w:rPr>
                <w:rFonts w:cs="Tahoma"/>
                <w:b/>
                <w:sz w:val="18"/>
                <w:szCs w:val="18"/>
              </w:rPr>
              <w:t>0</w:t>
            </w:r>
            <w:r w:rsidR="00F2250D">
              <w:rPr>
                <w:rFonts w:cs="Tahoma"/>
                <w:b/>
                <w:sz w:val="18"/>
                <w:szCs w:val="18"/>
              </w:rPr>
              <w:t>1</w:t>
            </w:r>
            <w:r w:rsidR="00146ECA">
              <w:rPr>
                <w:rFonts w:cs="Tahoma"/>
                <w:b/>
                <w:sz w:val="18"/>
                <w:szCs w:val="18"/>
              </w:rPr>
              <w:t>/</w:t>
            </w:r>
            <w:r>
              <w:rPr>
                <w:rFonts w:cs="Tahoma"/>
                <w:b/>
                <w:sz w:val="18"/>
                <w:szCs w:val="18"/>
              </w:rPr>
              <w:t>0</w:t>
            </w:r>
            <w:r w:rsidR="00F2250D">
              <w:rPr>
                <w:rFonts w:cs="Tahoma"/>
                <w:b/>
                <w:sz w:val="18"/>
                <w:szCs w:val="18"/>
              </w:rPr>
              <w:t>7</w:t>
            </w:r>
            <w:r w:rsidR="00146ECA">
              <w:rPr>
                <w:rFonts w:cs="Tahoma"/>
                <w:b/>
                <w:sz w:val="18"/>
                <w:szCs w:val="18"/>
              </w:rPr>
              <w:t>/</w:t>
            </w:r>
            <w:r>
              <w:rPr>
                <w:rFonts w:cs="Tahoma"/>
                <w:b/>
                <w:sz w:val="18"/>
                <w:szCs w:val="18"/>
              </w:rPr>
              <w:t>20</w:t>
            </w:r>
            <w:r w:rsidR="00146ECA">
              <w:rPr>
                <w:rFonts w:cs="Tahoma"/>
                <w:b/>
                <w:sz w:val="18"/>
                <w:szCs w:val="18"/>
              </w:rPr>
              <w:t>20</w:t>
            </w:r>
          </w:p>
        </w:tc>
      </w:tr>
    </w:tbl>
    <w:p w14:paraId="56CE3F07" w14:textId="77777777" w:rsidR="00146ECA" w:rsidRPr="00E30B7C" w:rsidRDefault="00146ECA" w:rsidP="00146ECA">
      <w:pPr>
        <w:rPr>
          <w:rFonts w:cs="Tahoma"/>
          <w:b/>
          <w:i/>
        </w:rPr>
      </w:pPr>
    </w:p>
    <w:tbl>
      <w:tblPr>
        <w:tblStyle w:val="LightShading-Accent1"/>
        <w:tblW w:w="9426" w:type="dxa"/>
        <w:tblLayout w:type="fixed"/>
        <w:tblLook w:val="04A0" w:firstRow="1" w:lastRow="0" w:firstColumn="1" w:lastColumn="0" w:noHBand="0" w:noVBand="1"/>
      </w:tblPr>
      <w:tblGrid>
        <w:gridCol w:w="3142"/>
        <w:gridCol w:w="1644"/>
        <w:gridCol w:w="4640"/>
      </w:tblGrid>
      <w:tr w:rsidR="00146ECA" w:rsidRPr="00B159B4" w14:paraId="77A9729B" w14:textId="77777777" w:rsidTr="007615A1">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42" w:type="dxa"/>
          </w:tcPr>
          <w:p w14:paraId="4154D825" w14:textId="77777777" w:rsidR="00146ECA" w:rsidRPr="00404481" w:rsidRDefault="00146ECA" w:rsidP="007615A1">
            <w:pPr>
              <w:rPr>
                <w:rFonts w:cs="Tahoma"/>
                <w:sz w:val="18"/>
                <w:szCs w:val="18"/>
              </w:rPr>
            </w:pPr>
            <w:r w:rsidRPr="00404481">
              <w:rPr>
                <w:rFonts w:cs="Tahoma"/>
                <w:sz w:val="18"/>
                <w:szCs w:val="18"/>
              </w:rPr>
              <w:t>Version No</w:t>
            </w:r>
          </w:p>
        </w:tc>
        <w:tc>
          <w:tcPr>
            <w:tcW w:w="1644" w:type="dxa"/>
          </w:tcPr>
          <w:p w14:paraId="6EF4CCCB" w14:textId="77777777" w:rsidR="00146ECA" w:rsidRPr="00404481" w:rsidRDefault="00146ECA" w:rsidP="007615A1">
            <w:pPr>
              <w:cnfStyle w:val="100000000000" w:firstRow="1" w:lastRow="0" w:firstColumn="0" w:lastColumn="0" w:oddVBand="0" w:evenVBand="0" w:oddHBand="0" w:evenHBand="0" w:firstRowFirstColumn="0" w:firstRowLastColumn="0" w:lastRowFirstColumn="0" w:lastRowLastColumn="0"/>
              <w:rPr>
                <w:rFonts w:cs="Tahoma"/>
                <w:sz w:val="18"/>
                <w:szCs w:val="18"/>
              </w:rPr>
            </w:pPr>
            <w:r w:rsidRPr="00404481">
              <w:rPr>
                <w:rFonts w:cs="Tahoma"/>
                <w:sz w:val="18"/>
                <w:szCs w:val="18"/>
              </w:rPr>
              <w:t>Date</w:t>
            </w:r>
          </w:p>
        </w:tc>
        <w:tc>
          <w:tcPr>
            <w:tcW w:w="4640" w:type="dxa"/>
          </w:tcPr>
          <w:p w14:paraId="40618148" w14:textId="77777777" w:rsidR="00146ECA" w:rsidRPr="00404481" w:rsidRDefault="00146ECA" w:rsidP="007615A1">
            <w:pPr>
              <w:cnfStyle w:val="100000000000" w:firstRow="1" w:lastRow="0" w:firstColumn="0" w:lastColumn="0" w:oddVBand="0" w:evenVBand="0" w:oddHBand="0" w:evenHBand="0" w:firstRowFirstColumn="0" w:firstRowLastColumn="0" w:lastRowFirstColumn="0" w:lastRowLastColumn="0"/>
              <w:rPr>
                <w:rFonts w:cs="Tahoma"/>
                <w:sz w:val="18"/>
                <w:szCs w:val="18"/>
              </w:rPr>
            </w:pPr>
            <w:r w:rsidRPr="00404481">
              <w:rPr>
                <w:rFonts w:cs="Tahoma"/>
                <w:sz w:val="18"/>
                <w:szCs w:val="18"/>
              </w:rPr>
              <w:t>Summary of changes</w:t>
            </w:r>
          </w:p>
        </w:tc>
      </w:tr>
      <w:tr w:rsidR="00146ECA" w:rsidRPr="00B159B4" w14:paraId="6FE884F6" w14:textId="77777777" w:rsidTr="007615A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42" w:type="dxa"/>
          </w:tcPr>
          <w:p w14:paraId="3A9EA124" w14:textId="77777777" w:rsidR="00146ECA" w:rsidRPr="00404481" w:rsidRDefault="00146ECA" w:rsidP="007615A1">
            <w:pPr>
              <w:rPr>
                <w:rFonts w:cs="Tahoma"/>
                <w:b w:val="0"/>
                <w:sz w:val="18"/>
                <w:szCs w:val="18"/>
              </w:rPr>
            </w:pPr>
            <w:r>
              <w:rPr>
                <w:rFonts w:cs="Tahoma"/>
                <w:b w:val="0"/>
                <w:sz w:val="18"/>
                <w:szCs w:val="18"/>
              </w:rPr>
              <w:t>0.1 DRAFT</w:t>
            </w:r>
          </w:p>
        </w:tc>
        <w:tc>
          <w:tcPr>
            <w:tcW w:w="1644" w:type="dxa"/>
          </w:tcPr>
          <w:p w14:paraId="7298AD3A" w14:textId="15FDAB18" w:rsidR="00146ECA" w:rsidRPr="00B159B4" w:rsidRDefault="00146ECA" w:rsidP="007615A1">
            <w:pPr>
              <w:cnfStyle w:val="000000100000" w:firstRow="0" w:lastRow="0" w:firstColumn="0" w:lastColumn="0" w:oddVBand="0" w:evenVBand="0" w:oddHBand="1" w:evenHBand="0" w:firstRowFirstColumn="0" w:firstRowLastColumn="0" w:lastRowFirstColumn="0" w:lastRowLastColumn="0"/>
              <w:rPr>
                <w:rFonts w:cs="Tahoma"/>
                <w:sz w:val="18"/>
                <w:szCs w:val="18"/>
              </w:rPr>
            </w:pPr>
            <w:r>
              <w:rPr>
                <w:rFonts w:cs="Tahoma"/>
                <w:sz w:val="18"/>
                <w:szCs w:val="18"/>
              </w:rPr>
              <w:t>11/08/2019</w:t>
            </w:r>
          </w:p>
        </w:tc>
        <w:tc>
          <w:tcPr>
            <w:tcW w:w="4640" w:type="dxa"/>
          </w:tcPr>
          <w:p w14:paraId="663A9164" w14:textId="77777777" w:rsidR="00146ECA" w:rsidRPr="00B159B4" w:rsidRDefault="00146ECA" w:rsidP="007615A1">
            <w:pPr>
              <w:cnfStyle w:val="000000100000" w:firstRow="0" w:lastRow="0" w:firstColumn="0" w:lastColumn="0" w:oddVBand="0" w:evenVBand="0" w:oddHBand="1" w:evenHBand="0" w:firstRowFirstColumn="0" w:firstRowLastColumn="0" w:lastRowFirstColumn="0" w:lastRowLastColumn="0"/>
              <w:rPr>
                <w:rFonts w:cs="Tahoma"/>
                <w:sz w:val="18"/>
                <w:szCs w:val="18"/>
              </w:rPr>
            </w:pPr>
            <w:r>
              <w:rPr>
                <w:rFonts w:cs="Tahoma"/>
                <w:sz w:val="18"/>
                <w:szCs w:val="18"/>
              </w:rPr>
              <w:t>Initial release for comment</w:t>
            </w:r>
          </w:p>
        </w:tc>
      </w:tr>
      <w:tr w:rsidR="00146ECA" w:rsidRPr="00B159B4" w14:paraId="086EB672" w14:textId="77777777" w:rsidTr="007615A1">
        <w:trPr>
          <w:trHeight w:val="227"/>
        </w:trPr>
        <w:tc>
          <w:tcPr>
            <w:cnfStyle w:val="001000000000" w:firstRow="0" w:lastRow="0" w:firstColumn="1" w:lastColumn="0" w:oddVBand="0" w:evenVBand="0" w:oddHBand="0" w:evenHBand="0" w:firstRowFirstColumn="0" w:firstRowLastColumn="0" w:lastRowFirstColumn="0" w:lastRowLastColumn="0"/>
            <w:tcW w:w="3142" w:type="dxa"/>
          </w:tcPr>
          <w:p w14:paraId="4641D730" w14:textId="1158FE99" w:rsidR="00146ECA" w:rsidRPr="00404481" w:rsidRDefault="00146ECA" w:rsidP="007615A1">
            <w:pPr>
              <w:rPr>
                <w:rFonts w:cs="Tahoma"/>
                <w:b w:val="0"/>
                <w:sz w:val="18"/>
                <w:szCs w:val="18"/>
              </w:rPr>
            </w:pPr>
            <w:r>
              <w:rPr>
                <w:rFonts w:cs="Tahoma"/>
                <w:b w:val="0"/>
                <w:sz w:val="18"/>
                <w:szCs w:val="18"/>
              </w:rPr>
              <w:t>0.2 DRAFT</w:t>
            </w:r>
          </w:p>
        </w:tc>
        <w:tc>
          <w:tcPr>
            <w:tcW w:w="1644" w:type="dxa"/>
          </w:tcPr>
          <w:p w14:paraId="66E93629" w14:textId="0D17129F" w:rsidR="00146ECA" w:rsidRPr="00B159B4" w:rsidRDefault="00146ECA" w:rsidP="007615A1">
            <w:pPr>
              <w:cnfStyle w:val="000000000000" w:firstRow="0" w:lastRow="0" w:firstColumn="0" w:lastColumn="0" w:oddVBand="0" w:evenVBand="0" w:oddHBand="0" w:evenHBand="0" w:firstRowFirstColumn="0" w:firstRowLastColumn="0" w:lastRowFirstColumn="0" w:lastRowLastColumn="0"/>
              <w:rPr>
                <w:rFonts w:cs="Tahoma"/>
                <w:sz w:val="18"/>
                <w:szCs w:val="18"/>
              </w:rPr>
            </w:pPr>
            <w:r>
              <w:rPr>
                <w:rFonts w:cs="Tahoma"/>
                <w:sz w:val="18"/>
                <w:szCs w:val="18"/>
              </w:rPr>
              <w:t>28/09/2019</w:t>
            </w:r>
          </w:p>
        </w:tc>
        <w:tc>
          <w:tcPr>
            <w:tcW w:w="4640" w:type="dxa"/>
          </w:tcPr>
          <w:p w14:paraId="1BCFA80D" w14:textId="68E02B0C" w:rsidR="00146ECA" w:rsidRPr="00B159B4" w:rsidRDefault="00146ECA" w:rsidP="007615A1">
            <w:pPr>
              <w:cnfStyle w:val="000000000000" w:firstRow="0" w:lastRow="0" w:firstColumn="0" w:lastColumn="0" w:oddVBand="0" w:evenVBand="0" w:oddHBand="0" w:evenHBand="0" w:firstRowFirstColumn="0" w:firstRowLastColumn="0" w:lastRowFirstColumn="0" w:lastRowLastColumn="0"/>
              <w:rPr>
                <w:rFonts w:cs="Tahoma"/>
                <w:sz w:val="18"/>
                <w:szCs w:val="18"/>
              </w:rPr>
            </w:pPr>
            <w:r>
              <w:rPr>
                <w:rFonts w:cs="Tahoma"/>
                <w:sz w:val="18"/>
                <w:szCs w:val="18"/>
              </w:rPr>
              <w:t>Revised after initial release</w:t>
            </w:r>
          </w:p>
        </w:tc>
      </w:tr>
      <w:tr w:rsidR="00146ECA" w:rsidRPr="00B159B4" w14:paraId="0BC395ED" w14:textId="77777777" w:rsidTr="007615A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42" w:type="dxa"/>
          </w:tcPr>
          <w:p w14:paraId="1A59DDFA" w14:textId="7E9739D6" w:rsidR="00146ECA" w:rsidRPr="00404481" w:rsidRDefault="00146ECA" w:rsidP="007615A1">
            <w:pPr>
              <w:rPr>
                <w:rFonts w:cs="Tahoma"/>
                <w:b w:val="0"/>
                <w:sz w:val="18"/>
                <w:szCs w:val="18"/>
              </w:rPr>
            </w:pPr>
            <w:r>
              <w:rPr>
                <w:rFonts w:cs="Tahoma"/>
                <w:b w:val="0"/>
                <w:sz w:val="18"/>
                <w:szCs w:val="18"/>
              </w:rPr>
              <w:t xml:space="preserve">0..9 DRAFT </w:t>
            </w:r>
          </w:p>
        </w:tc>
        <w:tc>
          <w:tcPr>
            <w:tcW w:w="1644" w:type="dxa"/>
          </w:tcPr>
          <w:p w14:paraId="04A579E5" w14:textId="3A06F92F" w:rsidR="00146ECA" w:rsidRPr="00B159B4" w:rsidRDefault="00146ECA" w:rsidP="007615A1">
            <w:pPr>
              <w:cnfStyle w:val="000000100000" w:firstRow="0" w:lastRow="0" w:firstColumn="0" w:lastColumn="0" w:oddVBand="0" w:evenVBand="0" w:oddHBand="1" w:evenHBand="0" w:firstRowFirstColumn="0" w:firstRowLastColumn="0" w:lastRowFirstColumn="0" w:lastRowLastColumn="0"/>
              <w:rPr>
                <w:rFonts w:cs="Tahoma"/>
                <w:sz w:val="18"/>
                <w:szCs w:val="18"/>
              </w:rPr>
            </w:pPr>
            <w:r>
              <w:rPr>
                <w:rFonts w:cs="Tahoma"/>
                <w:sz w:val="18"/>
                <w:szCs w:val="18"/>
              </w:rPr>
              <w:t>01/11/2019</w:t>
            </w:r>
          </w:p>
        </w:tc>
        <w:tc>
          <w:tcPr>
            <w:tcW w:w="4640" w:type="dxa"/>
          </w:tcPr>
          <w:p w14:paraId="5B41F0E6" w14:textId="6F956623" w:rsidR="00146ECA" w:rsidRPr="00B159B4" w:rsidRDefault="00146ECA" w:rsidP="007615A1">
            <w:pPr>
              <w:cnfStyle w:val="000000100000" w:firstRow="0" w:lastRow="0" w:firstColumn="0" w:lastColumn="0" w:oddVBand="0" w:evenVBand="0" w:oddHBand="1" w:evenHBand="0" w:firstRowFirstColumn="0" w:firstRowLastColumn="0" w:lastRowFirstColumn="0" w:lastRowLastColumn="0"/>
              <w:rPr>
                <w:rFonts w:cs="Tahoma"/>
                <w:sz w:val="18"/>
                <w:szCs w:val="18"/>
              </w:rPr>
            </w:pPr>
            <w:r>
              <w:rPr>
                <w:rFonts w:cs="Tahoma"/>
                <w:sz w:val="18"/>
                <w:szCs w:val="18"/>
              </w:rPr>
              <w:t>Revised to align with ISO27001</w:t>
            </w:r>
          </w:p>
        </w:tc>
      </w:tr>
      <w:tr w:rsidR="00146ECA" w:rsidRPr="00337483" w14:paraId="53471869" w14:textId="77777777" w:rsidTr="007615A1">
        <w:trPr>
          <w:trHeight w:val="227"/>
        </w:trPr>
        <w:tc>
          <w:tcPr>
            <w:cnfStyle w:val="001000000000" w:firstRow="0" w:lastRow="0" w:firstColumn="1" w:lastColumn="0" w:oddVBand="0" w:evenVBand="0" w:oddHBand="0" w:evenHBand="0" w:firstRowFirstColumn="0" w:firstRowLastColumn="0" w:lastRowFirstColumn="0" w:lastRowLastColumn="0"/>
            <w:tcW w:w="3142" w:type="dxa"/>
          </w:tcPr>
          <w:p w14:paraId="695B6DED" w14:textId="695EE6E4" w:rsidR="00146ECA" w:rsidRPr="00337483" w:rsidRDefault="00337483" w:rsidP="00337483">
            <w:pPr>
              <w:pStyle w:val="ListParagraph"/>
              <w:numPr>
                <w:ilvl w:val="1"/>
                <w:numId w:val="11"/>
              </w:numPr>
              <w:rPr>
                <w:rFonts w:cs="Tahoma"/>
                <w:b w:val="0"/>
                <w:bCs w:val="0"/>
                <w:sz w:val="18"/>
                <w:szCs w:val="18"/>
              </w:rPr>
            </w:pPr>
            <w:r w:rsidRPr="00337483">
              <w:rPr>
                <w:rFonts w:cs="Tahoma"/>
                <w:b w:val="0"/>
                <w:bCs w:val="0"/>
                <w:sz w:val="18"/>
                <w:szCs w:val="18"/>
              </w:rPr>
              <w:t>DRAFT</w:t>
            </w:r>
            <w:r w:rsidR="00146ECA" w:rsidRPr="00337483">
              <w:rPr>
                <w:rFonts w:cs="Tahoma"/>
                <w:b w:val="0"/>
                <w:bCs w:val="0"/>
                <w:sz w:val="18"/>
                <w:szCs w:val="18"/>
              </w:rPr>
              <w:t xml:space="preserve"> </w:t>
            </w:r>
          </w:p>
        </w:tc>
        <w:tc>
          <w:tcPr>
            <w:tcW w:w="1644" w:type="dxa"/>
          </w:tcPr>
          <w:p w14:paraId="73950C37" w14:textId="53C2A4AB" w:rsidR="00146ECA" w:rsidRPr="00337483" w:rsidRDefault="00146ECA" w:rsidP="007615A1">
            <w:pPr>
              <w:cnfStyle w:val="000000000000" w:firstRow="0" w:lastRow="0" w:firstColumn="0" w:lastColumn="0" w:oddVBand="0" w:evenVBand="0" w:oddHBand="0" w:evenHBand="0" w:firstRowFirstColumn="0" w:firstRowLastColumn="0" w:lastRowFirstColumn="0" w:lastRowLastColumn="0"/>
              <w:rPr>
                <w:rFonts w:cs="Tahoma"/>
                <w:sz w:val="18"/>
                <w:szCs w:val="18"/>
              </w:rPr>
            </w:pPr>
            <w:r w:rsidRPr="00337483">
              <w:rPr>
                <w:rFonts w:cs="Tahoma"/>
                <w:sz w:val="18"/>
                <w:szCs w:val="18"/>
              </w:rPr>
              <w:t>0</w:t>
            </w:r>
            <w:r w:rsidR="00337483">
              <w:rPr>
                <w:rFonts w:cs="Tahoma"/>
                <w:sz w:val="18"/>
                <w:szCs w:val="18"/>
              </w:rPr>
              <w:t>3</w:t>
            </w:r>
            <w:r w:rsidRPr="00337483">
              <w:rPr>
                <w:rFonts w:cs="Tahoma"/>
                <w:sz w:val="18"/>
                <w:szCs w:val="18"/>
              </w:rPr>
              <w:t>/0</w:t>
            </w:r>
            <w:r w:rsidR="00337483">
              <w:rPr>
                <w:rFonts w:cs="Tahoma"/>
                <w:sz w:val="18"/>
                <w:szCs w:val="18"/>
              </w:rPr>
              <w:t>6</w:t>
            </w:r>
            <w:r w:rsidRPr="00337483">
              <w:rPr>
                <w:rFonts w:cs="Tahoma"/>
                <w:sz w:val="18"/>
                <w:szCs w:val="18"/>
              </w:rPr>
              <w:t>/2020</w:t>
            </w:r>
          </w:p>
        </w:tc>
        <w:tc>
          <w:tcPr>
            <w:tcW w:w="4640" w:type="dxa"/>
          </w:tcPr>
          <w:p w14:paraId="38028222" w14:textId="4A02310E" w:rsidR="00146ECA" w:rsidRPr="00337483" w:rsidRDefault="00337483" w:rsidP="007615A1">
            <w:pPr>
              <w:cnfStyle w:val="000000000000" w:firstRow="0" w:lastRow="0" w:firstColumn="0" w:lastColumn="0" w:oddVBand="0" w:evenVBand="0" w:oddHBand="0" w:evenHBand="0" w:firstRowFirstColumn="0" w:firstRowLastColumn="0" w:lastRowFirstColumn="0" w:lastRowLastColumn="0"/>
              <w:rPr>
                <w:rFonts w:cs="Tahoma"/>
                <w:sz w:val="18"/>
                <w:szCs w:val="18"/>
              </w:rPr>
            </w:pPr>
            <w:r>
              <w:rPr>
                <w:rFonts w:cs="Tahoma"/>
                <w:sz w:val="18"/>
                <w:szCs w:val="18"/>
              </w:rPr>
              <w:t>Added teleworking section</w:t>
            </w:r>
          </w:p>
        </w:tc>
      </w:tr>
      <w:tr w:rsidR="00146ECA" w:rsidRPr="00B159B4" w14:paraId="20F9004A" w14:textId="77777777" w:rsidTr="007615A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42" w:type="dxa"/>
          </w:tcPr>
          <w:p w14:paraId="6980479D" w14:textId="79492A41" w:rsidR="00146ECA" w:rsidRPr="00404481" w:rsidRDefault="00337483" w:rsidP="007615A1">
            <w:pPr>
              <w:rPr>
                <w:rFonts w:cs="Tahoma"/>
                <w:b w:val="0"/>
                <w:sz w:val="18"/>
                <w:szCs w:val="18"/>
              </w:rPr>
            </w:pPr>
            <w:r>
              <w:rPr>
                <w:rFonts w:cs="Tahoma"/>
                <w:b w:val="0"/>
                <w:sz w:val="18"/>
                <w:szCs w:val="18"/>
              </w:rPr>
              <w:t>1.2 DR</w:t>
            </w:r>
            <w:r w:rsidR="00F2250D">
              <w:rPr>
                <w:rFonts w:cs="Tahoma"/>
                <w:b w:val="0"/>
                <w:sz w:val="18"/>
                <w:szCs w:val="18"/>
              </w:rPr>
              <w:t>A</w:t>
            </w:r>
            <w:r>
              <w:rPr>
                <w:rFonts w:cs="Tahoma"/>
                <w:b w:val="0"/>
                <w:sz w:val="18"/>
                <w:szCs w:val="18"/>
              </w:rPr>
              <w:t>FT</w:t>
            </w:r>
          </w:p>
        </w:tc>
        <w:tc>
          <w:tcPr>
            <w:tcW w:w="1644" w:type="dxa"/>
          </w:tcPr>
          <w:p w14:paraId="79483935" w14:textId="2FC74203" w:rsidR="00146ECA" w:rsidRPr="00B159B4" w:rsidRDefault="00F2250D" w:rsidP="007615A1">
            <w:pPr>
              <w:cnfStyle w:val="000000100000" w:firstRow="0" w:lastRow="0" w:firstColumn="0" w:lastColumn="0" w:oddVBand="0" w:evenVBand="0" w:oddHBand="1" w:evenHBand="0" w:firstRowFirstColumn="0" w:firstRowLastColumn="0" w:lastRowFirstColumn="0" w:lastRowLastColumn="0"/>
              <w:rPr>
                <w:rFonts w:cs="Tahoma"/>
                <w:sz w:val="18"/>
                <w:szCs w:val="18"/>
              </w:rPr>
            </w:pPr>
            <w:r>
              <w:rPr>
                <w:rFonts w:cs="Tahoma"/>
                <w:sz w:val="18"/>
                <w:szCs w:val="18"/>
              </w:rPr>
              <w:t>01</w:t>
            </w:r>
            <w:r w:rsidR="00337483">
              <w:rPr>
                <w:rFonts w:cs="Tahoma"/>
                <w:sz w:val="18"/>
                <w:szCs w:val="18"/>
              </w:rPr>
              <w:t>/</w:t>
            </w:r>
            <w:r>
              <w:rPr>
                <w:rFonts w:cs="Tahoma"/>
                <w:sz w:val="18"/>
                <w:szCs w:val="18"/>
              </w:rPr>
              <w:t>07</w:t>
            </w:r>
            <w:r w:rsidR="00337483">
              <w:rPr>
                <w:rFonts w:cs="Tahoma"/>
                <w:sz w:val="18"/>
                <w:szCs w:val="18"/>
              </w:rPr>
              <w:t>/2020</w:t>
            </w:r>
          </w:p>
        </w:tc>
        <w:tc>
          <w:tcPr>
            <w:tcW w:w="4640" w:type="dxa"/>
          </w:tcPr>
          <w:p w14:paraId="62C7AB06" w14:textId="5CA76457" w:rsidR="00146ECA" w:rsidRPr="00B159B4" w:rsidRDefault="00337483" w:rsidP="007615A1">
            <w:pPr>
              <w:cnfStyle w:val="000000100000" w:firstRow="0" w:lastRow="0" w:firstColumn="0" w:lastColumn="0" w:oddVBand="0" w:evenVBand="0" w:oddHBand="1" w:evenHBand="0" w:firstRowFirstColumn="0" w:firstRowLastColumn="0" w:lastRowFirstColumn="0" w:lastRowLastColumn="0"/>
              <w:rPr>
                <w:rFonts w:cs="Tahoma"/>
                <w:sz w:val="18"/>
                <w:szCs w:val="18"/>
              </w:rPr>
            </w:pPr>
            <w:r>
              <w:rPr>
                <w:rFonts w:cs="Tahoma"/>
                <w:sz w:val="18"/>
                <w:szCs w:val="18"/>
              </w:rPr>
              <w:t>Added mobile device section</w:t>
            </w:r>
            <w:r w:rsidR="00F2250D">
              <w:rPr>
                <w:rFonts w:cs="Tahoma"/>
                <w:sz w:val="18"/>
                <w:szCs w:val="18"/>
              </w:rPr>
              <w:t>; submit to ISMS Board</w:t>
            </w:r>
          </w:p>
        </w:tc>
      </w:tr>
      <w:tr w:rsidR="00146ECA" w:rsidRPr="00B159B4" w14:paraId="0752EC9E" w14:textId="77777777" w:rsidTr="007615A1">
        <w:trPr>
          <w:trHeight w:val="227"/>
        </w:trPr>
        <w:tc>
          <w:tcPr>
            <w:cnfStyle w:val="001000000000" w:firstRow="0" w:lastRow="0" w:firstColumn="1" w:lastColumn="0" w:oddVBand="0" w:evenVBand="0" w:oddHBand="0" w:evenHBand="0" w:firstRowFirstColumn="0" w:firstRowLastColumn="0" w:lastRowFirstColumn="0" w:lastRowLastColumn="0"/>
            <w:tcW w:w="3142" w:type="dxa"/>
          </w:tcPr>
          <w:p w14:paraId="0B8CDB12" w14:textId="3DB954D1" w:rsidR="00146ECA" w:rsidRPr="00404481" w:rsidRDefault="00146ECA" w:rsidP="007615A1">
            <w:pPr>
              <w:rPr>
                <w:rFonts w:cs="Tahoma"/>
                <w:b w:val="0"/>
                <w:sz w:val="18"/>
                <w:szCs w:val="18"/>
              </w:rPr>
            </w:pPr>
          </w:p>
        </w:tc>
        <w:tc>
          <w:tcPr>
            <w:tcW w:w="1644" w:type="dxa"/>
          </w:tcPr>
          <w:p w14:paraId="35BD0041" w14:textId="77777777" w:rsidR="00146ECA" w:rsidRPr="00B159B4" w:rsidRDefault="00146ECA" w:rsidP="007615A1">
            <w:pPr>
              <w:cnfStyle w:val="000000000000" w:firstRow="0" w:lastRow="0" w:firstColumn="0" w:lastColumn="0" w:oddVBand="0" w:evenVBand="0" w:oddHBand="0" w:evenHBand="0" w:firstRowFirstColumn="0" w:firstRowLastColumn="0" w:lastRowFirstColumn="0" w:lastRowLastColumn="0"/>
              <w:rPr>
                <w:rFonts w:cs="Tahoma"/>
                <w:sz w:val="18"/>
                <w:szCs w:val="18"/>
              </w:rPr>
            </w:pPr>
          </w:p>
        </w:tc>
        <w:tc>
          <w:tcPr>
            <w:tcW w:w="4640" w:type="dxa"/>
          </w:tcPr>
          <w:p w14:paraId="2EBF98BA" w14:textId="77777777" w:rsidR="00146ECA" w:rsidRPr="00B159B4" w:rsidRDefault="00146ECA" w:rsidP="007615A1">
            <w:pPr>
              <w:cnfStyle w:val="000000000000" w:firstRow="0" w:lastRow="0" w:firstColumn="0" w:lastColumn="0" w:oddVBand="0" w:evenVBand="0" w:oddHBand="0" w:evenHBand="0" w:firstRowFirstColumn="0" w:firstRowLastColumn="0" w:lastRowFirstColumn="0" w:lastRowLastColumn="0"/>
              <w:rPr>
                <w:rFonts w:cs="Tahoma"/>
                <w:sz w:val="18"/>
                <w:szCs w:val="18"/>
              </w:rPr>
            </w:pPr>
          </w:p>
        </w:tc>
      </w:tr>
      <w:tr w:rsidR="00146ECA" w:rsidRPr="00AF3345" w14:paraId="0B96CCCF" w14:textId="77777777" w:rsidTr="007615A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42" w:type="dxa"/>
          </w:tcPr>
          <w:p w14:paraId="134C2319" w14:textId="77777777" w:rsidR="00146ECA" w:rsidRPr="00AF3345" w:rsidRDefault="00146ECA" w:rsidP="007615A1">
            <w:pPr>
              <w:rPr>
                <w:rFonts w:cs="Tahoma"/>
                <w:sz w:val="18"/>
                <w:szCs w:val="18"/>
              </w:rPr>
            </w:pPr>
          </w:p>
        </w:tc>
        <w:tc>
          <w:tcPr>
            <w:tcW w:w="1644" w:type="dxa"/>
          </w:tcPr>
          <w:p w14:paraId="6AEB244F" w14:textId="77777777" w:rsidR="00146ECA" w:rsidRDefault="00146ECA" w:rsidP="007615A1">
            <w:pPr>
              <w:cnfStyle w:val="000000100000" w:firstRow="0" w:lastRow="0" w:firstColumn="0" w:lastColumn="0" w:oddVBand="0" w:evenVBand="0" w:oddHBand="1" w:evenHBand="0" w:firstRowFirstColumn="0" w:firstRowLastColumn="0" w:lastRowFirstColumn="0" w:lastRowLastColumn="0"/>
              <w:rPr>
                <w:rFonts w:cs="Tahoma"/>
                <w:sz w:val="18"/>
                <w:szCs w:val="18"/>
              </w:rPr>
            </w:pPr>
          </w:p>
        </w:tc>
        <w:tc>
          <w:tcPr>
            <w:tcW w:w="4640" w:type="dxa"/>
          </w:tcPr>
          <w:p w14:paraId="59DCEDAC" w14:textId="77777777" w:rsidR="00146ECA" w:rsidRPr="00AF3345" w:rsidRDefault="00146ECA" w:rsidP="007615A1">
            <w:pPr>
              <w:cnfStyle w:val="000000100000" w:firstRow="0" w:lastRow="0" w:firstColumn="0" w:lastColumn="0" w:oddVBand="0" w:evenVBand="0" w:oddHBand="1" w:evenHBand="0" w:firstRowFirstColumn="0" w:firstRowLastColumn="0" w:lastRowFirstColumn="0" w:lastRowLastColumn="0"/>
              <w:rPr>
                <w:rFonts w:cs="Tahoma"/>
                <w:sz w:val="18"/>
                <w:szCs w:val="18"/>
              </w:rPr>
            </w:pPr>
          </w:p>
        </w:tc>
      </w:tr>
      <w:tr w:rsidR="00146ECA" w:rsidRPr="00AF3345" w14:paraId="122CBC67" w14:textId="77777777" w:rsidTr="007615A1">
        <w:trPr>
          <w:trHeight w:val="227"/>
        </w:trPr>
        <w:tc>
          <w:tcPr>
            <w:cnfStyle w:val="001000000000" w:firstRow="0" w:lastRow="0" w:firstColumn="1" w:lastColumn="0" w:oddVBand="0" w:evenVBand="0" w:oddHBand="0" w:evenHBand="0" w:firstRowFirstColumn="0" w:firstRowLastColumn="0" w:lastRowFirstColumn="0" w:lastRowLastColumn="0"/>
            <w:tcW w:w="3142" w:type="dxa"/>
          </w:tcPr>
          <w:p w14:paraId="333BD533" w14:textId="77777777" w:rsidR="00146ECA" w:rsidRPr="00AF3345" w:rsidRDefault="00146ECA" w:rsidP="007615A1">
            <w:pPr>
              <w:rPr>
                <w:rFonts w:cs="Tahoma"/>
                <w:b w:val="0"/>
                <w:sz w:val="18"/>
                <w:szCs w:val="18"/>
              </w:rPr>
            </w:pPr>
          </w:p>
        </w:tc>
        <w:tc>
          <w:tcPr>
            <w:tcW w:w="1644" w:type="dxa"/>
          </w:tcPr>
          <w:p w14:paraId="196EE19E" w14:textId="77777777" w:rsidR="00146ECA" w:rsidRPr="00AF3345" w:rsidRDefault="00146ECA" w:rsidP="007615A1">
            <w:pPr>
              <w:cnfStyle w:val="000000000000" w:firstRow="0" w:lastRow="0" w:firstColumn="0" w:lastColumn="0" w:oddVBand="0" w:evenVBand="0" w:oddHBand="0" w:evenHBand="0" w:firstRowFirstColumn="0" w:firstRowLastColumn="0" w:lastRowFirstColumn="0" w:lastRowLastColumn="0"/>
              <w:rPr>
                <w:rFonts w:cs="Tahoma"/>
                <w:sz w:val="18"/>
                <w:szCs w:val="18"/>
              </w:rPr>
            </w:pPr>
          </w:p>
        </w:tc>
        <w:tc>
          <w:tcPr>
            <w:tcW w:w="4640" w:type="dxa"/>
          </w:tcPr>
          <w:p w14:paraId="4DD226F1" w14:textId="77777777" w:rsidR="00146ECA" w:rsidRPr="00AF3345" w:rsidRDefault="00146ECA" w:rsidP="007615A1">
            <w:pPr>
              <w:cnfStyle w:val="000000000000" w:firstRow="0" w:lastRow="0" w:firstColumn="0" w:lastColumn="0" w:oddVBand="0" w:evenVBand="0" w:oddHBand="0" w:evenHBand="0" w:firstRowFirstColumn="0" w:firstRowLastColumn="0" w:lastRowFirstColumn="0" w:lastRowLastColumn="0"/>
              <w:rPr>
                <w:rFonts w:cs="Tahoma"/>
                <w:sz w:val="18"/>
                <w:szCs w:val="18"/>
              </w:rPr>
            </w:pPr>
          </w:p>
        </w:tc>
      </w:tr>
      <w:tr w:rsidR="00146ECA" w:rsidRPr="005214D5" w14:paraId="1D67BD10" w14:textId="77777777" w:rsidTr="007615A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42" w:type="dxa"/>
          </w:tcPr>
          <w:p w14:paraId="59446E85" w14:textId="77777777" w:rsidR="00146ECA" w:rsidRPr="005214D5" w:rsidRDefault="00146ECA" w:rsidP="007615A1">
            <w:pPr>
              <w:rPr>
                <w:rFonts w:cs="Tahoma"/>
                <w:b w:val="0"/>
                <w:sz w:val="18"/>
                <w:szCs w:val="18"/>
              </w:rPr>
            </w:pPr>
          </w:p>
        </w:tc>
        <w:tc>
          <w:tcPr>
            <w:tcW w:w="1644" w:type="dxa"/>
          </w:tcPr>
          <w:p w14:paraId="3150B983" w14:textId="77777777" w:rsidR="00146ECA" w:rsidRPr="005214D5" w:rsidRDefault="00146ECA" w:rsidP="007615A1">
            <w:pPr>
              <w:cnfStyle w:val="000000100000" w:firstRow="0" w:lastRow="0" w:firstColumn="0" w:lastColumn="0" w:oddVBand="0" w:evenVBand="0" w:oddHBand="1" w:evenHBand="0" w:firstRowFirstColumn="0" w:firstRowLastColumn="0" w:lastRowFirstColumn="0" w:lastRowLastColumn="0"/>
              <w:rPr>
                <w:rFonts w:cs="Tahoma"/>
                <w:sz w:val="18"/>
                <w:szCs w:val="18"/>
              </w:rPr>
            </w:pPr>
          </w:p>
        </w:tc>
        <w:tc>
          <w:tcPr>
            <w:tcW w:w="4640" w:type="dxa"/>
          </w:tcPr>
          <w:p w14:paraId="00E99E3A" w14:textId="77777777" w:rsidR="00146ECA" w:rsidRPr="005214D5" w:rsidRDefault="00146ECA" w:rsidP="007615A1">
            <w:pPr>
              <w:cnfStyle w:val="000000100000" w:firstRow="0" w:lastRow="0" w:firstColumn="0" w:lastColumn="0" w:oddVBand="0" w:evenVBand="0" w:oddHBand="1" w:evenHBand="0" w:firstRowFirstColumn="0" w:firstRowLastColumn="0" w:lastRowFirstColumn="0" w:lastRowLastColumn="0"/>
              <w:rPr>
                <w:rFonts w:cs="Tahoma"/>
                <w:sz w:val="18"/>
                <w:szCs w:val="18"/>
              </w:rPr>
            </w:pPr>
          </w:p>
        </w:tc>
      </w:tr>
      <w:tr w:rsidR="00146ECA" w:rsidRPr="00395771" w14:paraId="12300EC2" w14:textId="77777777" w:rsidTr="007615A1">
        <w:trPr>
          <w:trHeight w:val="227"/>
        </w:trPr>
        <w:tc>
          <w:tcPr>
            <w:cnfStyle w:val="001000000000" w:firstRow="0" w:lastRow="0" w:firstColumn="1" w:lastColumn="0" w:oddVBand="0" w:evenVBand="0" w:oddHBand="0" w:evenHBand="0" w:firstRowFirstColumn="0" w:firstRowLastColumn="0" w:lastRowFirstColumn="0" w:lastRowLastColumn="0"/>
            <w:tcW w:w="3142" w:type="dxa"/>
          </w:tcPr>
          <w:p w14:paraId="2FCCC5D0" w14:textId="77777777" w:rsidR="00146ECA" w:rsidRPr="00395771" w:rsidRDefault="00146ECA" w:rsidP="007615A1">
            <w:pPr>
              <w:rPr>
                <w:rFonts w:cs="Tahoma"/>
                <w:b w:val="0"/>
                <w:sz w:val="18"/>
                <w:szCs w:val="18"/>
              </w:rPr>
            </w:pPr>
          </w:p>
        </w:tc>
        <w:tc>
          <w:tcPr>
            <w:tcW w:w="1644" w:type="dxa"/>
          </w:tcPr>
          <w:p w14:paraId="5DCD87FA" w14:textId="77777777" w:rsidR="00146ECA" w:rsidRPr="00395771" w:rsidRDefault="00146ECA" w:rsidP="007615A1">
            <w:pPr>
              <w:cnfStyle w:val="000000000000" w:firstRow="0" w:lastRow="0" w:firstColumn="0" w:lastColumn="0" w:oddVBand="0" w:evenVBand="0" w:oddHBand="0" w:evenHBand="0" w:firstRowFirstColumn="0" w:firstRowLastColumn="0" w:lastRowFirstColumn="0" w:lastRowLastColumn="0"/>
              <w:rPr>
                <w:rFonts w:cs="Tahoma"/>
                <w:sz w:val="18"/>
                <w:szCs w:val="18"/>
              </w:rPr>
            </w:pPr>
          </w:p>
        </w:tc>
        <w:tc>
          <w:tcPr>
            <w:tcW w:w="4640" w:type="dxa"/>
          </w:tcPr>
          <w:p w14:paraId="30E667FC" w14:textId="77777777" w:rsidR="00146ECA" w:rsidRPr="00395771" w:rsidRDefault="00146ECA" w:rsidP="007615A1">
            <w:pPr>
              <w:cnfStyle w:val="000000000000" w:firstRow="0" w:lastRow="0" w:firstColumn="0" w:lastColumn="0" w:oddVBand="0" w:evenVBand="0" w:oddHBand="0" w:evenHBand="0" w:firstRowFirstColumn="0" w:firstRowLastColumn="0" w:lastRowFirstColumn="0" w:lastRowLastColumn="0"/>
              <w:rPr>
                <w:rFonts w:cs="Tahoma"/>
                <w:sz w:val="18"/>
                <w:szCs w:val="18"/>
              </w:rPr>
            </w:pPr>
          </w:p>
        </w:tc>
      </w:tr>
    </w:tbl>
    <w:p w14:paraId="58B2E4A5" w14:textId="77777777" w:rsidR="00146ECA" w:rsidRPr="00E30B7C" w:rsidRDefault="00146ECA" w:rsidP="00146ECA">
      <w:pPr>
        <w:rPr>
          <w:rFonts w:cs="Tahoma"/>
          <w:b/>
          <w:i/>
        </w:rPr>
      </w:pPr>
    </w:p>
    <w:p w14:paraId="61FA624F" w14:textId="77777777" w:rsidR="00146ECA" w:rsidRPr="00E30B7C" w:rsidRDefault="00146ECA" w:rsidP="00146ECA">
      <w:pPr>
        <w:rPr>
          <w:rFonts w:cs="Tahoma"/>
          <w:b/>
          <w:i/>
        </w:rPr>
      </w:pPr>
      <w:bookmarkStart w:id="0" w:name="_Toc523649452"/>
      <w:bookmarkStart w:id="1" w:name="_Toc431351076"/>
      <w:bookmarkStart w:id="2" w:name="_Toc431357361"/>
      <w:bookmarkStart w:id="3" w:name="_Toc431359808"/>
      <w:bookmarkStart w:id="4" w:name="_Toc431359916"/>
      <w:r w:rsidRPr="00E30B7C">
        <w:rPr>
          <w:rFonts w:cs="Tahoma"/>
          <w:b/>
          <w:i/>
        </w:rPr>
        <w:t>Review</w:t>
      </w:r>
      <w:bookmarkEnd w:id="0"/>
    </w:p>
    <w:tbl>
      <w:tblPr>
        <w:tblStyle w:val="LightShading-Accent1"/>
        <w:tblW w:w="9396" w:type="dxa"/>
        <w:tblLayout w:type="fixed"/>
        <w:tblLook w:val="04A0" w:firstRow="1" w:lastRow="0" w:firstColumn="1" w:lastColumn="0" w:noHBand="0" w:noVBand="1"/>
      </w:tblPr>
      <w:tblGrid>
        <w:gridCol w:w="3132"/>
        <w:gridCol w:w="2505"/>
        <w:gridCol w:w="3759"/>
      </w:tblGrid>
      <w:tr w:rsidR="00146ECA" w:rsidRPr="00B159B4" w14:paraId="16A7170C" w14:textId="77777777" w:rsidTr="007615A1">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132" w:type="dxa"/>
          </w:tcPr>
          <w:bookmarkEnd w:id="1"/>
          <w:bookmarkEnd w:id="2"/>
          <w:bookmarkEnd w:id="3"/>
          <w:bookmarkEnd w:id="4"/>
          <w:p w14:paraId="5D9A5EC4" w14:textId="77777777" w:rsidR="00146ECA" w:rsidRPr="00404481" w:rsidRDefault="00146ECA" w:rsidP="007615A1">
            <w:pPr>
              <w:rPr>
                <w:rFonts w:cs="Tahoma"/>
                <w:sz w:val="18"/>
                <w:szCs w:val="18"/>
              </w:rPr>
            </w:pPr>
            <w:r w:rsidRPr="00404481">
              <w:rPr>
                <w:rFonts w:cs="Tahoma"/>
                <w:sz w:val="18"/>
                <w:szCs w:val="18"/>
              </w:rPr>
              <w:t xml:space="preserve">Name </w:t>
            </w:r>
          </w:p>
        </w:tc>
        <w:tc>
          <w:tcPr>
            <w:tcW w:w="2505" w:type="dxa"/>
          </w:tcPr>
          <w:p w14:paraId="06327EE4" w14:textId="77777777" w:rsidR="00146ECA" w:rsidRPr="00404481" w:rsidRDefault="00146ECA" w:rsidP="007615A1">
            <w:pPr>
              <w:cnfStyle w:val="100000000000" w:firstRow="1" w:lastRow="0" w:firstColumn="0" w:lastColumn="0" w:oddVBand="0" w:evenVBand="0" w:oddHBand="0" w:evenHBand="0" w:firstRowFirstColumn="0" w:firstRowLastColumn="0" w:lastRowFirstColumn="0" w:lastRowLastColumn="0"/>
              <w:rPr>
                <w:rFonts w:cs="Tahoma"/>
                <w:sz w:val="18"/>
                <w:szCs w:val="18"/>
              </w:rPr>
            </w:pPr>
            <w:r w:rsidRPr="00404481">
              <w:rPr>
                <w:rFonts w:cs="Tahoma"/>
                <w:sz w:val="18"/>
                <w:szCs w:val="18"/>
              </w:rPr>
              <w:t>Organisation</w:t>
            </w:r>
          </w:p>
        </w:tc>
        <w:tc>
          <w:tcPr>
            <w:tcW w:w="3759" w:type="dxa"/>
          </w:tcPr>
          <w:p w14:paraId="5A3AA3B4" w14:textId="77777777" w:rsidR="00146ECA" w:rsidRPr="00404481" w:rsidRDefault="00146ECA" w:rsidP="007615A1">
            <w:pPr>
              <w:cnfStyle w:val="100000000000" w:firstRow="1" w:lastRow="0" w:firstColumn="0" w:lastColumn="0" w:oddVBand="0" w:evenVBand="0" w:oddHBand="0" w:evenHBand="0" w:firstRowFirstColumn="0" w:firstRowLastColumn="0" w:lastRowFirstColumn="0" w:lastRowLastColumn="0"/>
              <w:rPr>
                <w:rFonts w:cs="Tahoma"/>
                <w:sz w:val="18"/>
                <w:szCs w:val="18"/>
              </w:rPr>
            </w:pPr>
          </w:p>
        </w:tc>
      </w:tr>
      <w:tr w:rsidR="00146ECA" w:rsidRPr="00B159B4" w14:paraId="40444FF0" w14:textId="77777777" w:rsidTr="007615A1">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132" w:type="dxa"/>
          </w:tcPr>
          <w:p w14:paraId="1F5BF0EF" w14:textId="77777777" w:rsidR="00146ECA" w:rsidRPr="00FC332E" w:rsidRDefault="00146ECA" w:rsidP="007615A1">
            <w:pPr>
              <w:rPr>
                <w:rFonts w:cs="Tahoma"/>
                <w:b w:val="0"/>
                <w:sz w:val="18"/>
                <w:szCs w:val="18"/>
              </w:rPr>
            </w:pPr>
            <w:r>
              <w:rPr>
                <w:rFonts w:cs="Tahoma"/>
                <w:b w:val="0"/>
                <w:sz w:val="18"/>
                <w:szCs w:val="18"/>
              </w:rPr>
              <w:t>Daniel Glennie</w:t>
            </w:r>
          </w:p>
        </w:tc>
        <w:tc>
          <w:tcPr>
            <w:tcW w:w="2505" w:type="dxa"/>
          </w:tcPr>
          <w:p w14:paraId="2536B1D4" w14:textId="77777777" w:rsidR="00146ECA" w:rsidRPr="00B159B4" w:rsidRDefault="00146ECA" w:rsidP="007615A1">
            <w:pPr>
              <w:cnfStyle w:val="000000100000" w:firstRow="0" w:lastRow="0" w:firstColumn="0" w:lastColumn="0" w:oddVBand="0" w:evenVBand="0" w:oddHBand="1" w:evenHBand="0" w:firstRowFirstColumn="0" w:firstRowLastColumn="0" w:lastRowFirstColumn="0" w:lastRowLastColumn="0"/>
              <w:rPr>
                <w:rFonts w:cs="Tahoma"/>
                <w:sz w:val="18"/>
                <w:szCs w:val="18"/>
              </w:rPr>
            </w:pPr>
            <w:r>
              <w:rPr>
                <w:rFonts w:cs="Tahoma"/>
                <w:sz w:val="18"/>
                <w:szCs w:val="18"/>
              </w:rPr>
              <w:t>Improvement Service</w:t>
            </w:r>
          </w:p>
        </w:tc>
        <w:tc>
          <w:tcPr>
            <w:tcW w:w="3759" w:type="dxa"/>
          </w:tcPr>
          <w:p w14:paraId="3E50E3EA" w14:textId="77777777" w:rsidR="00146ECA" w:rsidRPr="00B159B4" w:rsidRDefault="00146ECA" w:rsidP="007615A1">
            <w:pPr>
              <w:cnfStyle w:val="000000100000" w:firstRow="0" w:lastRow="0" w:firstColumn="0" w:lastColumn="0" w:oddVBand="0" w:evenVBand="0" w:oddHBand="1" w:evenHBand="0" w:firstRowFirstColumn="0" w:firstRowLastColumn="0" w:lastRowFirstColumn="0" w:lastRowLastColumn="0"/>
              <w:rPr>
                <w:rFonts w:cs="Tahoma"/>
                <w:sz w:val="18"/>
                <w:szCs w:val="18"/>
              </w:rPr>
            </w:pPr>
          </w:p>
        </w:tc>
      </w:tr>
      <w:tr w:rsidR="00146ECA" w:rsidRPr="00B159B4" w14:paraId="6AFD6EAA" w14:textId="77777777" w:rsidTr="007615A1">
        <w:trPr>
          <w:trHeight w:val="248"/>
        </w:trPr>
        <w:tc>
          <w:tcPr>
            <w:cnfStyle w:val="001000000000" w:firstRow="0" w:lastRow="0" w:firstColumn="1" w:lastColumn="0" w:oddVBand="0" w:evenVBand="0" w:oddHBand="0" w:evenHBand="0" w:firstRowFirstColumn="0" w:firstRowLastColumn="0" w:lastRowFirstColumn="0" w:lastRowLastColumn="0"/>
            <w:tcW w:w="3132" w:type="dxa"/>
          </w:tcPr>
          <w:p w14:paraId="17BB926A" w14:textId="73829FFE" w:rsidR="00146ECA" w:rsidRPr="00FC332E" w:rsidRDefault="00146ECA" w:rsidP="007615A1">
            <w:pPr>
              <w:rPr>
                <w:rFonts w:cs="Tahoma"/>
                <w:b w:val="0"/>
                <w:sz w:val="18"/>
                <w:szCs w:val="18"/>
              </w:rPr>
            </w:pPr>
            <w:r>
              <w:rPr>
                <w:rFonts w:cs="Tahoma"/>
                <w:b w:val="0"/>
                <w:sz w:val="18"/>
                <w:szCs w:val="18"/>
              </w:rPr>
              <w:t>ISMS Board</w:t>
            </w:r>
          </w:p>
        </w:tc>
        <w:tc>
          <w:tcPr>
            <w:tcW w:w="2505" w:type="dxa"/>
          </w:tcPr>
          <w:p w14:paraId="11ECB963" w14:textId="418BD382" w:rsidR="00146ECA" w:rsidRPr="00B159B4" w:rsidRDefault="00146ECA" w:rsidP="007615A1">
            <w:pPr>
              <w:cnfStyle w:val="000000000000" w:firstRow="0" w:lastRow="0" w:firstColumn="0" w:lastColumn="0" w:oddVBand="0" w:evenVBand="0" w:oddHBand="0" w:evenHBand="0" w:firstRowFirstColumn="0" w:firstRowLastColumn="0" w:lastRowFirstColumn="0" w:lastRowLastColumn="0"/>
              <w:rPr>
                <w:rFonts w:cs="Tahoma"/>
                <w:sz w:val="18"/>
                <w:szCs w:val="18"/>
              </w:rPr>
            </w:pPr>
            <w:r>
              <w:rPr>
                <w:rFonts w:cs="Tahoma"/>
                <w:sz w:val="18"/>
                <w:szCs w:val="18"/>
              </w:rPr>
              <w:t>Improvement Service</w:t>
            </w:r>
          </w:p>
        </w:tc>
        <w:tc>
          <w:tcPr>
            <w:tcW w:w="3759" w:type="dxa"/>
          </w:tcPr>
          <w:p w14:paraId="4190CC61" w14:textId="77777777" w:rsidR="00146ECA" w:rsidRPr="00B159B4" w:rsidRDefault="00146ECA" w:rsidP="007615A1">
            <w:pPr>
              <w:cnfStyle w:val="000000000000" w:firstRow="0" w:lastRow="0" w:firstColumn="0" w:lastColumn="0" w:oddVBand="0" w:evenVBand="0" w:oddHBand="0" w:evenHBand="0" w:firstRowFirstColumn="0" w:firstRowLastColumn="0" w:lastRowFirstColumn="0" w:lastRowLastColumn="0"/>
              <w:rPr>
                <w:rFonts w:cs="Tahoma"/>
                <w:sz w:val="18"/>
                <w:szCs w:val="18"/>
              </w:rPr>
            </w:pPr>
          </w:p>
        </w:tc>
      </w:tr>
      <w:tr w:rsidR="00146ECA" w:rsidRPr="00B159B4" w14:paraId="0698461C" w14:textId="77777777" w:rsidTr="007615A1">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132" w:type="dxa"/>
          </w:tcPr>
          <w:p w14:paraId="178B7043" w14:textId="77777777" w:rsidR="00146ECA" w:rsidRPr="00FC332E" w:rsidRDefault="00146ECA" w:rsidP="007615A1">
            <w:pPr>
              <w:rPr>
                <w:rFonts w:cs="Tahoma"/>
                <w:b w:val="0"/>
                <w:sz w:val="18"/>
                <w:szCs w:val="18"/>
              </w:rPr>
            </w:pPr>
          </w:p>
        </w:tc>
        <w:tc>
          <w:tcPr>
            <w:tcW w:w="2505" w:type="dxa"/>
          </w:tcPr>
          <w:p w14:paraId="5B5E8198" w14:textId="77777777" w:rsidR="00146ECA" w:rsidRPr="00B159B4" w:rsidRDefault="00146ECA" w:rsidP="007615A1">
            <w:pPr>
              <w:cnfStyle w:val="000000100000" w:firstRow="0" w:lastRow="0" w:firstColumn="0" w:lastColumn="0" w:oddVBand="0" w:evenVBand="0" w:oddHBand="1" w:evenHBand="0" w:firstRowFirstColumn="0" w:firstRowLastColumn="0" w:lastRowFirstColumn="0" w:lastRowLastColumn="0"/>
              <w:rPr>
                <w:rFonts w:cs="Tahoma"/>
                <w:sz w:val="18"/>
                <w:szCs w:val="18"/>
              </w:rPr>
            </w:pPr>
          </w:p>
        </w:tc>
        <w:tc>
          <w:tcPr>
            <w:tcW w:w="3759" w:type="dxa"/>
          </w:tcPr>
          <w:p w14:paraId="539E9A74" w14:textId="77777777" w:rsidR="00146ECA" w:rsidRPr="00B159B4" w:rsidRDefault="00146ECA" w:rsidP="007615A1">
            <w:pPr>
              <w:cnfStyle w:val="000000100000" w:firstRow="0" w:lastRow="0" w:firstColumn="0" w:lastColumn="0" w:oddVBand="0" w:evenVBand="0" w:oddHBand="1" w:evenHBand="0" w:firstRowFirstColumn="0" w:firstRowLastColumn="0" w:lastRowFirstColumn="0" w:lastRowLastColumn="0"/>
              <w:rPr>
                <w:rFonts w:cs="Tahoma"/>
                <w:sz w:val="18"/>
                <w:szCs w:val="18"/>
              </w:rPr>
            </w:pPr>
          </w:p>
        </w:tc>
      </w:tr>
      <w:tr w:rsidR="00146ECA" w:rsidRPr="00B159B4" w14:paraId="5840BA6E" w14:textId="77777777" w:rsidTr="007615A1">
        <w:trPr>
          <w:trHeight w:val="248"/>
        </w:trPr>
        <w:tc>
          <w:tcPr>
            <w:cnfStyle w:val="001000000000" w:firstRow="0" w:lastRow="0" w:firstColumn="1" w:lastColumn="0" w:oddVBand="0" w:evenVBand="0" w:oddHBand="0" w:evenHBand="0" w:firstRowFirstColumn="0" w:firstRowLastColumn="0" w:lastRowFirstColumn="0" w:lastRowLastColumn="0"/>
            <w:tcW w:w="3132" w:type="dxa"/>
          </w:tcPr>
          <w:p w14:paraId="1AC65E37" w14:textId="77777777" w:rsidR="00146ECA" w:rsidRPr="00FC332E" w:rsidRDefault="00146ECA" w:rsidP="007615A1">
            <w:pPr>
              <w:rPr>
                <w:rFonts w:cs="Tahoma"/>
                <w:b w:val="0"/>
                <w:sz w:val="18"/>
                <w:szCs w:val="18"/>
              </w:rPr>
            </w:pPr>
          </w:p>
        </w:tc>
        <w:tc>
          <w:tcPr>
            <w:tcW w:w="2505" w:type="dxa"/>
          </w:tcPr>
          <w:p w14:paraId="471926BE" w14:textId="77777777" w:rsidR="00146ECA" w:rsidRDefault="00146ECA" w:rsidP="007615A1">
            <w:pPr>
              <w:cnfStyle w:val="000000000000" w:firstRow="0" w:lastRow="0" w:firstColumn="0" w:lastColumn="0" w:oddVBand="0" w:evenVBand="0" w:oddHBand="0" w:evenHBand="0" w:firstRowFirstColumn="0" w:firstRowLastColumn="0" w:lastRowFirstColumn="0" w:lastRowLastColumn="0"/>
              <w:rPr>
                <w:rFonts w:cs="Tahoma"/>
                <w:sz w:val="18"/>
                <w:szCs w:val="18"/>
              </w:rPr>
            </w:pPr>
          </w:p>
        </w:tc>
        <w:tc>
          <w:tcPr>
            <w:tcW w:w="3759" w:type="dxa"/>
          </w:tcPr>
          <w:p w14:paraId="2AF01ACB" w14:textId="77777777" w:rsidR="00146ECA" w:rsidRDefault="00146ECA" w:rsidP="007615A1">
            <w:pPr>
              <w:cnfStyle w:val="000000000000" w:firstRow="0" w:lastRow="0" w:firstColumn="0" w:lastColumn="0" w:oddVBand="0" w:evenVBand="0" w:oddHBand="0" w:evenHBand="0" w:firstRowFirstColumn="0" w:firstRowLastColumn="0" w:lastRowFirstColumn="0" w:lastRowLastColumn="0"/>
              <w:rPr>
                <w:rFonts w:cs="Tahoma"/>
                <w:sz w:val="18"/>
                <w:szCs w:val="18"/>
              </w:rPr>
            </w:pPr>
          </w:p>
        </w:tc>
      </w:tr>
    </w:tbl>
    <w:p w14:paraId="463D0240" w14:textId="77777777" w:rsidR="00146ECA" w:rsidRPr="00E30B7C" w:rsidRDefault="00146ECA" w:rsidP="00146ECA">
      <w:pPr>
        <w:rPr>
          <w:rFonts w:cs="Tahoma"/>
          <w:b/>
          <w:i/>
        </w:rPr>
      </w:pPr>
    </w:p>
    <w:p w14:paraId="2D8C277E" w14:textId="77777777" w:rsidR="00146ECA" w:rsidRPr="00E30B7C" w:rsidRDefault="00146ECA" w:rsidP="00146ECA">
      <w:pPr>
        <w:rPr>
          <w:rFonts w:cs="Tahoma"/>
          <w:b/>
          <w:i/>
        </w:rPr>
      </w:pPr>
      <w:bookmarkStart w:id="5" w:name="_Toc523649455"/>
      <w:r w:rsidRPr="00E30B7C">
        <w:rPr>
          <w:rFonts w:cs="Tahoma"/>
          <w:b/>
          <w:i/>
        </w:rPr>
        <w:t>Authorisation</w:t>
      </w:r>
      <w:bookmarkEnd w:id="5"/>
    </w:p>
    <w:tbl>
      <w:tblPr>
        <w:tblStyle w:val="LightShading-Accent1"/>
        <w:tblW w:w="9400" w:type="dxa"/>
        <w:tblLayout w:type="fixed"/>
        <w:tblLook w:val="04A0" w:firstRow="1" w:lastRow="0" w:firstColumn="1" w:lastColumn="0" w:noHBand="0" w:noVBand="1"/>
      </w:tblPr>
      <w:tblGrid>
        <w:gridCol w:w="2258"/>
        <w:gridCol w:w="2695"/>
        <w:gridCol w:w="2695"/>
        <w:gridCol w:w="1752"/>
      </w:tblGrid>
      <w:tr w:rsidR="00146ECA" w:rsidRPr="00B159B4" w14:paraId="353A0164" w14:textId="77777777" w:rsidTr="007615A1">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400" w:type="dxa"/>
            <w:gridSpan w:val="4"/>
          </w:tcPr>
          <w:p w14:paraId="74D3E93B" w14:textId="77777777" w:rsidR="00146ECA" w:rsidRPr="00404481" w:rsidRDefault="00146ECA" w:rsidP="007615A1">
            <w:pPr>
              <w:rPr>
                <w:rFonts w:cs="Tahoma"/>
                <w:i/>
                <w:sz w:val="18"/>
                <w:szCs w:val="18"/>
              </w:rPr>
            </w:pPr>
            <w:r w:rsidRPr="00404481">
              <w:rPr>
                <w:rFonts w:cs="Tahoma"/>
                <w:sz w:val="18"/>
                <w:szCs w:val="18"/>
              </w:rPr>
              <w:t>Document Approvals</w:t>
            </w:r>
          </w:p>
          <w:p w14:paraId="00A7822F" w14:textId="77777777" w:rsidR="00146ECA" w:rsidRPr="00404481" w:rsidRDefault="00146ECA" w:rsidP="007615A1">
            <w:pPr>
              <w:rPr>
                <w:rFonts w:cs="Tahoma"/>
                <w:i/>
                <w:sz w:val="18"/>
                <w:szCs w:val="18"/>
              </w:rPr>
            </w:pPr>
          </w:p>
        </w:tc>
      </w:tr>
      <w:tr w:rsidR="00146ECA" w:rsidRPr="00B159B4" w14:paraId="0CCAF990" w14:textId="77777777" w:rsidTr="007615A1">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2258" w:type="dxa"/>
          </w:tcPr>
          <w:p w14:paraId="0D543BA3" w14:textId="77777777" w:rsidR="00146ECA" w:rsidRPr="00404481" w:rsidRDefault="00146ECA" w:rsidP="007615A1">
            <w:pPr>
              <w:rPr>
                <w:rFonts w:cs="Tahoma"/>
                <w:sz w:val="18"/>
                <w:szCs w:val="18"/>
              </w:rPr>
            </w:pPr>
            <w:r w:rsidRPr="00404481">
              <w:rPr>
                <w:rFonts w:cs="Tahoma"/>
                <w:sz w:val="18"/>
                <w:szCs w:val="18"/>
              </w:rPr>
              <w:t>Document Authorisation</w:t>
            </w:r>
          </w:p>
        </w:tc>
        <w:tc>
          <w:tcPr>
            <w:tcW w:w="2695" w:type="dxa"/>
          </w:tcPr>
          <w:p w14:paraId="7380A72E" w14:textId="77777777" w:rsidR="00146ECA" w:rsidRPr="00B159B4" w:rsidRDefault="00146ECA" w:rsidP="007615A1">
            <w:pPr>
              <w:cnfStyle w:val="000000100000" w:firstRow="0" w:lastRow="0" w:firstColumn="0" w:lastColumn="0" w:oddVBand="0" w:evenVBand="0" w:oddHBand="1" w:evenHBand="0" w:firstRowFirstColumn="0" w:firstRowLastColumn="0" w:lastRowFirstColumn="0" w:lastRowLastColumn="0"/>
              <w:rPr>
                <w:rFonts w:cs="Tahoma"/>
                <w:b/>
                <w:sz w:val="18"/>
                <w:szCs w:val="18"/>
              </w:rPr>
            </w:pPr>
            <w:r w:rsidRPr="00B159B4">
              <w:rPr>
                <w:rFonts w:cs="Tahoma"/>
                <w:b/>
                <w:sz w:val="18"/>
                <w:szCs w:val="18"/>
              </w:rPr>
              <w:t>Title/Organisation</w:t>
            </w:r>
          </w:p>
        </w:tc>
        <w:tc>
          <w:tcPr>
            <w:tcW w:w="2695" w:type="dxa"/>
          </w:tcPr>
          <w:p w14:paraId="299A726E" w14:textId="77777777" w:rsidR="00146ECA" w:rsidRPr="00B159B4" w:rsidRDefault="00146ECA" w:rsidP="007615A1">
            <w:pPr>
              <w:cnfStyle w:val="000000100000" w:firstRow="0" w:lastRow="0" w:firstColumn="0" w:lastColumn="0" w:oddVBand="0" w:evenVBand="0" w:oddHBand="1" w:evenHBand="0" w:firstRowFirstColumn="0" w:firstRowLastColumn="0" w:lastRowFirstColumn="0" w:lastRowLastColumn="0"/>
              <w:rPr>
                <w:rFonts w:cs="Tahoma"/>
                <w:b/>
                <w:sz w:val="18"/>
                <w:szCs w:val="18"/>
              </w:rPr>
            </w:pPr>
            <w:r w:rsidRPr="00B159B4">
              <w:rPr>
                <w:rFonts w:cs="Tahoma"/>
                <w:b/>
                <w:sz w:val="18"/>
                <w:szCs w:val="18"/>
              </w:rPr>
              <w:t>Signature</w:t>
            </w:r>
          </w:p>
        </w:tc>
        <w:tc>
          <w:tcPr>
            <w:tcW w:w="1752" w:type="dxa"/>
          </w:tcPr>
          <w:p w14:paraId="2524B89C" w14:textId="77777777" w:rsidR="00146ECA" w:rsidRPr="00B159B4" w:rsidRDefault="00146ECA" w:rsidP="007615A1">
            <w:pPr>
              <w:cnfStyle w:val="000000100000" w:firstRow="0" w:lastRow="0" w:firstColumn="0" w:lastColumn="0" w:oddVBand="0" w:evenVBand="0" w:oddHBand="1" w:evenHBand="0" w:firstRowFirstColumn="0" w:firstRowLastColumn="0" w:lastRowFirstColumn="0" w:lastRowLastColumn="0"/>
              <w:rPr>
                <w:rFonts w:cs="Tahoma"/>
                <w:b/>
                <w:sz w:val="18"/>
                <w:szCs w:val="18"/>
              </w:rPr>
            </w:pPr>
            <w:r w:rsidRPr="00B159B4">
              <w:rPr>
                <w:rFonts w:cs="Tahoma"/>
                <w:b/>
                <w:sz w:val="18"/>
                <w:szCs w:val="18"/>
              </w:rPr>
              <w:t>Date</w:t>
            </w:r>
          </w:p>
        </w:tc>
      </w:tr>
      <w:tr w:rsidR="00146ECA" w:rsidRPr="00227D6D" w14:paraId="01F94471" w14:textId="77777777" w:rsidTr="007615A1">
        <w:trPr>
          <w:trHeight w:val="428"/>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61D4C853" w14:textId="644C8E0C" w:rsidR="00146ECA" w:rsidRPr="00227D6D" w:rsidRDefault="00337483" w:rsidP="007615A1">
            <w:pPr>
              <w:rPr>
                <w:rFonts w:cs="Tahoma"/>
                <w:b w:val="0"/>
                <w:sz w:val="18"/>
                <w:szCs w:val="18"/>
              </w:rPr>
            </w:pPr>
            <w:r>
              <w:rPr>
                <w:rFonts w:cs="Tahoma"/>
                <w:b w:val="0"/>
                <w:sz w:val="18"/>
                <w:szCs w:val="18"/>
              </w:rPr>
              <w:t>ISMS Board</w:t>
            </w:r>
          </w:p>
        </w:tc>
        <w:tc>
          <w:tcPr>
            <w:tcW w:w="2695" w:type="dxa"/>
            <w:vAlign w:val="center"/>
          </w:tcPr>
          <w:p w14:paraId="3B160F24" w14:textId="77777777" w:rsidR="00146ECA" w:rsidRPr="00227D6D" w:rsidRDefault="00146ECA" w:rsidP="007615A1">
            <w:pPr>
              <w:cnfStyle w:val="000000000000" w:firstRow="0" w:lastRow="0" w:firstColumn="0" w:lastColumn="0" w:oddVBand="0" w:evenVBand="0" w:oddHBand="0" w:evenHBand="0" w:firstRowFirstColumn="0" w:firstRowLastColumn="0" w:lastRowFirstColumn="0" w:lastRowLastColumn="0"/>
              <w:rPr>
                <w:rFonts w:cs="Tahoma"/>
                <w:sz w:val="18"/>
                <w:szCs w:val="18"/>
              </w:rPr>
            </w:pPr>
          </w:p>
        </w:tc>
        <w:tc>
          <w:tcPr>
            <w:tcW w:w="2695" w:type="dxa"/>
            <w:vAlign w:val="center"/>
          </w:tcPr>
          <w:p w14:paraId="584F9CA3" w14:textId="77777777" w:rsidR="00146ECA" w:rsidRPr="00227D6D" w:rsidRDefault="00146ECA" w:rsidP="007615A1">
            <w:pPr>
              <w:cnfStyle w:val="000000000000" w:firstRow="0" w:lastRow="0" w:firstColumn="0" w:lastColumn="0" w:oddVBand="0" w:evenVBand="0" w:oddHBand="0" w:evenHBand="0" w:firstRowFirstColumn="0" w:firstRowLastColumn="0" w:lastRowFirstColumn="0" w:lastRowLastColumn="0"/>
              <w:rPr>
                <w:rFonts w:cs="Tahoma"/>
                <w:sz w:val="18"/>
                <w:szCs w:val="18"/>
              </w:rPr>
            </w:pPr>
          </w:p>
        </w:tc>
        <w:tc>
          <w:tcPr>
            <w:tcW w:w="1752" w:type="dxa"/>
            <w:vAlign w:val="center"/>
          </w:tcPr>
          <w:p w14:paraId="0138FAC7" w14:textId="12DD68A1" w:rsidR="00146ECA" w:rsidRPr="00227D6D" w:rsidRDefault="00337483" w:rsidP="007615A1">
            <w:pPr>
              <w:cnfStyle w:val="000000000000" w:firstRow="0" w:lastRow="0" w:firstColumn="0" w:lastColumn="0" w:oddVBand="0" w:evenVBand="0" w:oddHBand="0" w:evenHBand="0" w:firstRowFirstColumn="0" w:firstRowLastColumn="0" w:lastRowFirstColumn="0" w:lastRowLastColumn="0"/>
              <w:rPr>
                <w:rFonts w:cs="Tahoma"/>
                <w:sz w:val="18"/>
                <w:szCs w:val="18"/>
              </w:rPr>
            </w:pPr>
            <w:r>
              <w:rPr>
                <w:rFonts w:cs="Tahoma"/>
                <w:sz w:val="18"/>
                <w:szCs w:val="18"/>
              </w:rPr>
              <w:t>01/07/2020</w:t>
            </w:r>
          </w:p>
        </w:tc>
      </w:tr>
    </w:tbl>
    <w:p w14:paraId="52C3539B" w14:textId="77777777" w:rsidR="00146ECA" w:rsidRDefault="00146ECA" w:rsidP="00146ECA"/>
    <w:p w14:paraId="43C185B3" w14:textId="35C5782F" w:rsidR="00A00AAF" w:rsidRDefault="00A00AAF">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14:paraId="285929CC" w14:textId="77777777" w:rsidR="00A00AAF" w:rsidRDefault="00A00AAF">
      <w:pPr>
        <w:rPr>
          <w:rFonts w:asciiTheme="majorHAnsi" w:eastAsiaTheme="majorEastAsia" w:hAnsiTheme="majorHAnsi" w:cstheme="majorBidi"/>
          <w:color w:val="2F5496" w:themeColor="accent1" w:themeShade="BF"/>
          <w:sz w:val="32"/>
          <w:szCs w:val="32"/>
        </w:rPr>
      </w:pPr>
    </w:p>
    <w:p w14:paraId="7ADA44FA" w14:textId="6EFBAB08" w:rsidR="003B435D" w:rsidRDefault="003B435D" w:rsidP="003B435D">
      <w:pPr>
        <w:pStyle w:val="Heading1"/>
      </w:pPr>
      <w:r>
        <w:t xml:space="preserve">Introduction </w:t>
      </w:r>
    </w:p>
    <w:p w14:paraId="5FD20C16" w14:textId="77777777" w:rsidR="003B435D" w:rsidRDefault="003B435D" w:rsidP="003B435D"/>
    <w:p w14:paraId="22952987" w14:textId="0FC01AD1" w:rsidR="003B435D" w:rsidRDefault="003B435D" w:rsidP="003B435D">
      <w:r>
        <w:t xml:space="preserve">Information is an asset that the Improvement Service has a duty and responsibility to protect. The availability of complete and accurate information is essential </w:t>
      </w:r>
      <w:r w:rsidR="0018704C">
        <w:t xml:space="preserve">for </w:t>
      </w:r>
      <w:r>
        <w:t xml:space="preserve">the organisation </w:t>
      </w:r>
      <w:r w:rsidR="0018704C">
        <w:t xml:space="preserve">to </w:t>
      </w:r>
      <w:r>
        <w:t>function in an efficient manner and provid</w:t>
      </w:r>
      <w:r w:rsidR="0018704C">
        <w:t>e</w:t>
      </w:r>
      <w:r>
        <w:t xml:space="preserve"> products and services to customers and partners. </w:t>
      </w:r>
    </w:p>
    <w:p w14:paraId="4F66D983" w14:textId="77777777" w:rsidR="003B435D" w:rsidRDefault="003B435D" w:rsidP="003B435D">
      <w:r>
        <w:t xml:space="preserve"> </w:t>
      </w:r>
    </w:p>
    <w:p w14:paraId="37B35CA5" w14:textId="41D559E2" w:rsidR="003B435D" w:rsidRDefault="003B435D" w:rsidP="003B435D">
      <w:r>
        <w:t>The Improvement Service holds and processes confidential and personal information on private individuals, employees, partners and suppliers</w:t>
      </w:r>
      <w:r w:rsidR="0018704C">
        <w:t>, along with</w:t>
      </w:r>
      <w:r>
        <w:t xml:space="preserve"> information relating to its own operations. </w:t>
      </w:r>
      <w:r w:rsidR="0018704C">
        <w:t xml:space="preserve"> </w:t>
      </w:r>
    </w:p>
    <w:p w14:paraId="76F5E88D" w14:textId="77777777" w:rsidR="003B435D" w:rsidRDefault="003B435D" w:rsidP="003B435D">
      <w:r>
        <w:t xml:space="preserve"> </w:t>
      </w:r>
    </w:p>
    <w:p w14:paraId="52E7556B" w14:textId="57D9C52D" w:rsidR="003B435D" w:rsidRDefault="628097E5" w:rsidP="003B435D">
      <w:r>
        <w:t xml:space="preserve">This policy’s goal is to protect the Improvement Service’s information assets from external and internal threats, whether deliberate or accidental. </w:t>
      </w:r>
    </w:p>
    <w:p w14:paraId="2F4A3F18" w14:textId="6C2BF531" w:rsidR="628097E5" w:rsidRDefault="628097E5" w:rsidP="628097E5">
      <w:pPr>
        <w:pStyle w:val="Heading1"/>
      </w:pPr>
      <w:r w:rsidRPr="628097E5">
        <w:t>Aim</w:t>
      </w:r>
    </w:p>
    <w:p w14:paraId="0C3E5BA7" w14:textId="77777777" w:rsidR="003B435D" w:rsidRDefault="003B435D" w:rsidP="003B435D">
      <w:r>
        <w:t>This policy aims to:</w:t>
      </w:r>
    </w:p>
    <w:p w14:paraId="4F4ECC97" w14:textId="77777777" w:rsidR="003B435D" w:rsidRDefault="003B435D" w:rsidP="003B435D"/>
    <w:p w14:paraId="1D0B9C2B" w14:textId="165CBA88" w:rsidR="003B435D" w:rsidRDefault="003B435D" w:rsidP="003B435D">
      <w:pPr>
        <w:pStyle w:val="ListParagraph"/>
        <w:numPr>
          <w:ilvl w:val="0"/>
          <w:numId w:val="1"/>
        </w:numPr>
      </w:pPr>
      <w:r>
        <w:t>enable secure information sharing</w:t>
      </w:r>
    </w:p>
    <w:p w14:paraId="6172D2E5" w14:textId="2D5E6ED4" w:rsidR="003B435D" w:rsidRDefault="003B435D" w:rsidP="003B435D">
      <w:pPr>
        <w:pStyle w:val="ListParagraph"/>
        <w:numPr>
          <w:ilvl w:val="0"/>
          <w:numId w:val="1"/>
        </w:numPr>
      </w:pPr>
      <w:r>
        <w:t>encourage consistent and professional use of information</w:t>
      </w:r>
    </w:p>
    <w:p w14:paraId="0D117AA7" w14:textId="022BA77E" w:rsidR="003B435D" w:rsidRDefault="003B435D" w:rsidP="003B435D">
      <w:pPr>
        <w:pStyle w:val="ListParagraph"/>
        <w:numPr>
          <w:ilvl w:val="0"/>
          <w:numId w:val="1"/>
        </w:numPr>
      </w:pPr>
      <w:r>
        <w:t>ensure that everyone is clear about their roles in using and protecting information</w:t>
      </w:r>
    </w:p>
    <w:p w14:paraId="729B1BE0" w14:textId="2E699B7A" w:rsidR="003B435D" w:rsidRDefault="003B435D" w:rsidP="003B435D">
      <w:pPr>
        <w:pStyle w:val="ListParagraph"/>
        <w:numPr>
          <w:ilvl w:val="0"/>
          <w:numId w:val="1"/>
        </w:numPr>
      </w:pPr>
      <w:r>
        <w:t>protect the organisation from legal liability and the inappropriate use of information</w:t>
      </w:r>
    </w:p>
    <w:p w14:paraId="43895DF4" w14:textId="77777777" w:rsidR="003B435D" w:rsidRDefault="003B435D" w:rsidP="003B435D">
      <w:r>
        <w:t xml:space="preserve"> </w:t>
      </w:r>
    </w:p>
    <w:p w14:paraId="4B178682" w14:textId="430CC8D2" w:rsidR="003B435D" w:rsidRDefault="003B435D" w:rsidP="003B435D">
      <w:r>
        <w:t xml:space="preserve">The Information Security Policy is a high-level document </w:t>
      </w:r>
      <w:r w:rsidR="00BE246A">
        <w:t xml:space="preserve">that </w:t>
      </w:r>
      <w:r>
        <w:t xml:space="preserve">adopts </w:t>
      </w:r>
      <w:proofErr w:type="gramStart"/>
      <w:r>
        <w:t>a number of</w:t>
      </w:r>
      <w:proofErr w:type="gramEnd"/>
      <w:r>
        <w:t xml:space="preserve"> controls to protect information.  The</w:t>
      </w:r>
      <w:r w:rsidR="00BE246A">
        <w:t>se</w:t>
      </w:r>
      <w:r>
        <w:t xml:space="preserve"> controls are delivered by </w:t>
      </w:r>
      <w:r w:rsidR="00BE246A">
        <w:t xml:space="preserve">people, </w:t>
      </w:r>
      <w:r w:rsidR="00D31BA8">
        <w:t xml:space="preserve">policies, processes and </w:t>
      </w:r>
      <w:r w:rsidR="00BE246A">
        <w:t>technologies</w:t>
      </w:r>
      <w:r w:rsidR="00CA5944">
        <w:t xml:space="preserve"> and </w:t>
      </w:r>
      <w:r>
        <w:t xml:space="preserve">supported by training and tools. </w:t>
      </w:r>
    </w:p>
    <w:p w14:paraId="609000D1" w14:textId="77777777" w:rsidR="003B435D" w:rsidRDefault="003B435D" w:rsidP="003B435D"/>
    <w:p w14:paraId="2C5C692F" w14:textId="434E90E8" w:rsidR="003B435D" w:rsidRDefault="628097E5" w:rsidP="003B435D">
      <w:pPr>
        <w:pStyle w:val="Heading1"/>
      </w:pPr>
      <w:r>
        <w:t xml:space="preserve">Scope </w:t>
      </w:r>
    </w:p>
    <w:p w14:paraId="48415F9B" w14:textId="20C992A1" w:rsidR="003B435D" w:rsidRDefault="003B435D" w:rsidP="003B435D">
      <w:r>
        <w:t xml:space="preserve">This Information Security Policy outlines the framework for management of Information Security within the </w:t>
      </w:r>
      <w:r w:rsidR="00DD2BF8">
        <w:t>Improvement Service</w:t>
      </w:r>
      <w:r>
        <w:t xml:space="preserve">. </w:t>
      </w:r>
    </w:p>
    <w:p w14:paraId="0EFD91E8" w14:textId="77777777" w:rsidR="003B435D" w:rsidRDefault="003B435D" w:rsidP="003B435D">
      <w:r>
        <w:t xml:space="preserve"> </w:t>
      </w:r>
    </w:p>
    <w:p w14:paraId="30D32788" w14:textId="7EDEEFCA" w:rsidR="003B435D" w:rsidRDefault="00DD2BF8" w:rsidP="003B435D">
      <w:r>
        <w:t>Along with its supporting policies, guidelines and procedures, it applies to</w:t>
      </w:r>
      <w:r w:rsidR="003B435D">
        <w:t xml:space="preserve"> all staff and employees of the </w:t>
      </w:r>
      <w:r>
        <w:t xml:space="preserve">Improvement Service and to </w:t>
      </w:r>
      <w:r w:rsidR="003B435D">
        <w:t xml:space="preserve">contractual third parties and agents who have access to the </w:t>
      </w:r>
      <w:r>
        <w:t>Improvement Service</w:t>
      </w:r>
      <w:r w:rsidR="003B435D">
        <w:t>’s information systems or information.</w:t>
      </w:r>
    </w:p>
    <w:p w14:paraId="2FA0535D" w14:textId="77777777" w:rsidR="003B435D" w:rsidRDefault="003B435D" w:rsidP="003B435D">
      <w:r>
        <w:t xml:space="preserve"> </w:t>
      </w:r>
    </w:p>
    <w:p w14:paraId="34AAF126" w14:textId="005CB8E7" w:rsidR="003B435D" w:rsidRDefault="003B435D" w:rsidP="003B435D">
      <w:r>
        <w:t xml:space="preserve">The Information Security Policy applies to all forms of information including: </w:t>
      </w:r>
    </w:p>
    <w:p w14:paraId="12A6DFBC" w14:textId="77777777" w:rsidR="003B435D" w:rsidRDefault="003B435D" w:rsidP="003B435D"/>
    <w:p w14:paraId="0779CD00" w14:textId="77777777" w:rsidR="003B435D" w:rsidRDefault="003B435D" w:rsidP="003B435D">
      <w:pPr>
        <w:pStyle w:val="ListParagraph"/>
        <w:numPr>
          <w:ilvl w:val="0"/>
          <w:numId w:val="3"/>
        </w:numPr>
      </w:pPr>
      <w:r>
        <w:t>speech, spoken face to face, or communicated by phone or radio</w:t>
      </w:r>
    </w:p>
    <w:p w14:paraId="7D23D07C" w14:textId="77777777" w:rsidR="003B435D" w:rsidRDefault="003B435D" w:rsidP="003B435D">
      <w:pPr>
        <w:pStyle w:val="ListParagraph"/>
        <w:numPr>
          <w:ilvl w:val="0"/>
          <w:numId w:val="3"/>
        </w:numPr>
      </w:pPr>
      <w:r>
        <w:t>hard copy data printed or written on paper</w:t>
      </w:r>
    </w:p>
    <w:p w14:paraId="25341EDF" w14:textId="77777777" w:rsidR="003B435D" w:rsidRDefault="003B435D" w:rsidP="003B435D">
      <w:pPr>
        <w:pStyle w:val="ListParagraph"/>
        <w:numPr>
          <w:ilvl w:val="0"/>
          <w:numId w:val="3"/>
        </w:numPr>
      </w:pPr>
      <w:r>
        <w:t>information stored in manual filing systems</w:t>
      </w:r>
    </w:p>
    <w:p w14:paraId="69CFF58B" w14:textId="77777777" w:rsidR="003B435D" w:rsidRDefault="003B435D" w:rsidP="003B435D">
      <w:pPr>
        <w:pStyle w:val="ListParagraph"/>
        <w:numPr>
          <w:ilvl w:val="0"/>
          <w:numId w:val="3"/>
        </w:numPr>
      </w:pPr>
      <w:r>
        <w:t>communications sent by post / courier, fax, electronic mail</w:t>
      </w:r>
    </w:p>
    <w:p w14:paraId="0E908401" w14:textId="036AAF39" w:rsidR="003B435D" w:rsidRDefault="00740A00" w:rsidP="003B435D">
      <w:pPr>
        <w:pStyle w:val="ListParagraph"/>
        <w:numPr>
          <w:ilvl w:val="0"/>
          <w:numId w:val="3"/>
        </w:numPr>
      </w:pPr>
      <w:r>
        <w:t xml:space="preserve">data </w:t>
      </w:r>
      <w:r w:rsidR="003B435D">
        <w:t xml:space="preserve">stored </w:t>
      </w:r>
      <w:r w:rsidR="00496CFF">
        <w:t xml:space="preserve">on </w:t>
      </w:r>
      <w:r w:rsidR="003B435D">
        <w:t xml:space="preserve">and processed </w:t>
      </w:r>
      <w:r w:rsidR="00496CFF">
        <w:t>by</w:t>
      </w:r>
      <w:r w:rsidR="003B435D">
        <w:t xml:space="preserve"> servers, PCs, laptops, mobile phones</w:t>
      </w:r>
    </w:p>
    <w:p w14:paraId="14B7C908" w14:textId="4CAFCA04" w:rsidR="003B435D" w:rsidRDefault="00496CFF" w:rsidP="003B435D">
      <w:pPr>
        <w:pStyle w:val="ListParagraph"/>
        <w:numPr>
          <w:ilvl w:val="0"/>
          <w:numId w:val="3"/>
        </w:numPr>
      </w:pPr>
      <w:r>
        <w:t xml:space="preserve">data </w:t>
      </w:r>
      <w:r w:rsidR="003B435D">
        <w:t>stored on any type of removable media, CDs, DVDs, tape, USB memory sticks, digital cameras</w:t>
      </w:r>
    </w:p>
    <w:p w14:paraId="621D9E0D" w14:textId="77777777" w:rsidR="003B435D" w:rsidRDefault="003B435D" w:rsidP="003B435D"/>
    <w:p w14:paraId="69A7E4DC" w14:textId="6FECBAC9" w:rsidR="003B435D" w:rsidRDefault="003B435D" w:rsidP="003B435D">
      <w:pPr>
        <w:pStyle w:val="Heading1"/>
      </w:pPr>
      <w:r w:rsidRPr="003B435D">
        <w:rPr>
          <w:rStyle w:val="SubtleEmphasis"/>
          <w:i w:val="0"/>
          <w:iCs w:val="0"/>
        </w:rPr>
        <w:t>Terms</w:t>
      </w:r>
      <w:r w:rsidRPr="003B435D">
        <w:t xml:space="preserve"> and Definitions </w:t>
      </w:r>
    </w:p>
    <w:p w14:paraId="67C69712" w14:textId="77777777" w:rsidR="003B435D" w:rsidRPr="003B435D" w:rsidRDefault="003B435D" w:rsidP="003B435D"/>
    <w:p w14:paraId="6903CB86" w14:textId="220A722B" w:rsidR="003B435D" w:rsidRDefault="003B435D" w:rsidP="003B435D">
      <w:r>
        <w:t xml:space="preserve">For the purpose of this document the following terms and definitions apply. </w:t>
      </w:r>
    </w:p>
    <w:p w14:paraId="4BA90CA9" w14:textId="77777777" w:rsidR="003B435D" w:rsidRDefault="003B435D" w:rsidP="003B435D"/>
    <w:tbl>
      <w:tblPr>
        <w:tblStyle w:val="GridTable4-Accent5"/>
        <w:tblW w:w="0" w:type="auto"/>
        <w:tblLook w:val="04A0" w:firstRow="1" w:lastRow="0" w:firstColumn="1" w:lastColumn="0" w:noHBand="0" w:noVBand="1"/>
      </w:tblPr>
      <w:tblGrid>
        <w:gridCol w:w="2593"/>
        <w:gridCol w:w="6417"/>
      </w:tblGrid>
      <w:tr w:rsidR="003B435D" w14:paraId="45BCDE7B" w14:textId="77777777" w:rsidTr="00B209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3E38FD6" w14:textId="30DE38CB" w:rsidR="003B435D" w:rsidRDefault="003B435D" w:rsidP="003B435D">
            <w:r>
              <w:t>Term</w:t>
            </w:r>
          </w:p>
        </w:tc>
        <w:tc>
          <w:tcPr>
            <w:tcW w:w="6804" w:type="dxa"/>
          </w:tcPr>
          <w:p w14:paraId="2C11E64D" w14:textId="6AF60EB4" w:rsidR="003B435D" w:rsidRDefault="003B435D" w:rsidP="003B435D">
            <w:pPr>
              <w:cnfStyle w:val="100000000000" w:firstRow="1" w:lastRow="0" w:firstColumn="0" w:lastColumn="0" w:oddVBand="0" w:evenVBand="0" w:oddHBand="0" w:evenHBand="0" w:firstRowFirstColumn="0" w:firstRowLastColumn="0" w:lastRowFirstColumn="0" w:lastRowLastColumn="0"/>
            </w:pPr>
            <w:r>
              <w:t>Definition</w:t>
            </w:r>
          </w:p>
        </w:tc>
      </w:tr>
      <w:tr w:rsidR="003B435D" w14:paraId="0B4FA06D" w14:textId="77777777" w:rsidTr="00B20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9AFEB99" w14:textId="708C06DC" w:rsidR="003B435D" w:rsidRDefault="003B435D" w:rsidP="003B435D">
            <w:r>
              <w:t>Asset</w:t>
            </w:r>
          </w:p>
        </w:tc>
        <w:tc>
          <w:tcPr>
            <w:tcW w:w="6804" w:type="dxa"/>
          </w:tcPr>
          <w:p w14:paraId="6CEE4165" w14:textId="22E0E829" w:rsidR="003B435D" w:rsidRDefault="003B435D" w:rsidP="003B435D">
            <w:pPr>
              <w:cnfStyle w:val="000000100000" w:firstRow="0" w:lastRow="0" w:firstColumn="0" w:lastColumn="0" w:oddVBand="0" w:evenVBand="0" w:oddHBand="1" w:evenHBand="0" w:firstRowFirstColumn="0" w:firstRowLastColumn="0" w:lastRowFirstColumn="0" w:lastRowLastColumn="0"/>
            </w:pPr>
            <w:r>
              <w:t>Anything that has value to the organi</w:t>
            </w:r>
            <w:r w:rsidR="00496CFF">
              <w:t>s</w:t>
            </w:r>
            <w:r>
              <w:t xml:space="preserve">ation </w:t>
            </w:r>
          </w:p>
        </w:tc>
      </w:tr>
      <w:tr w:rsidR="003B435D" w14:paraId="4778B7CD" w14:textId="77777777" w:rsidTr="00B209C7">
        <w:tc>
          <w:tcPr>
            <w:cnfStyle w:val="001000000000" w:firstRow="0" w:lastRow="0" w:firstColumn="1" w:lastColumn="0" w:oddVBand="0" w:evenVBand="0" w:oddHBand="0" w:evenHBand="0" w:firstRowFirstColumn="0" w:firstRowLastColumn="0" w:lastRowFirstColumn="0" w:lastRowLastColumn="0"/>
            <w:tcW w:w="2689" w:type="dxa"/>
          </w:tcPr>
          <w:p w14:paraId="08CA3C42" w14:textId="1C2A76F8" w:rsidR="003B435D" w:rsidRDefault="003B435D" w:rsidP="003B435D">
            <w:r>
              <w:t>Control</w:t>
            </w:r>
          </w:p>
        </w:tc>
        <w:tc>
          <w:tcPr>
            <w:tcW w:w="6804" w:type="dxa"/>
          </w:tcPr>
          <w:p w14:paraId="51766E77" w14:textId="5975DCE4" w:rsidR="003B435D" w:rsidRDefault="003B435D" w:rsidP="003B435D">
            <w:pPr>
              <w:cnfStyle w:val="000000000000" w:firstRow="0" w:lastRow="0" w:firstColumn="0" w:lastColumn="0" w:oddVBand="0" w:evenVBand="0" w:oddHBand="0" w:evenHBand="0" w:firstRowFirstColumn="0" w:firstRowLastColumn="0" w:lastRowFirstColumn="0" w:lastRowLastColumn="0"/>
            </w:pPr>
            <w:r>
              <w:t>Means of managing risk, including policies, procedures, guidelines, practices</w:t>
            </w:r>
          </w:p>
        </w:tc>
      </w:tr>
      <w:tr w:rsidR="003B435D" w14:paraId="1ADAD7B9" w14:textId="77777777" w:rsidTr="00B20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D3014E0" w14:textId="4638CF59" w:rsidR="003B435D" w:rsidRDefault="003B435D" w:rsidP="003B435D">
            <w:r>
              <w:t>Guideline</w:t>
            </w:r>
          </w:p>
        </w:tc>
        <w:tc>
          <w:tcPr>
            <w:tcW w:w="6804" w:type="dxa"/>
          </w:tcPr>
          <w:p w14:paraId="389DDAAC" w14:textId="77311F45" w:rsidR="003B435D" w:rsidRDefault="003B435D" w:rsidP="003B435D">
            <w:pPr>
              <w:cnfStyle w:val="000000100000" w:firstRow="0" w:lastRow="0" w:firstColumn="0" w:lastColumn="0" w:oddVBand="0" w:evenVBand="0" w:oddHBand="1" w:evenHBand="0" w:firstRowFirstColumn="0" w:firstRowLastColumn="0" w:lastRowFirstColumn="0" w:lastRowLastColumn="0"/>
            </w:pPr>
            <w:r>
              <w:t>A description that clarifies what should be done and how</w:t>
            </w:r>
          </w:p>
        </w:tc>
      </w:tr>
      <w:tr w:rsidR="003B435D" w14:paraId="7CA3BDD1" w14:textId="77777777" w:rsidTr="00B209C7">
        <w:tc>
          <w:tcPr>
            <w:cnfStyle w:val="001000000000" w:firstRow="0" w:lastRow="0" w:firstColumn="1" w:lastColumn="0" w:oddVBand="0" w:evenVBand="0" w:oddHBand="0" w:evenHBand="0" w:firstRowFirstColumn="0" w:firstRowLastColumn="0" w:lastRowFirstColumn="0" w:lastRowLastColumn="0"/>
            <w:tcW w:w="2689" w:type="dxa"/>
          </w:tcPr>
          <w:p w14:paraId="58928283" w14:textId="75819E71" w:rsidR="003B435D" w:rsidRDefault="003B435D" w:rsidP="003B435D">
            <w:r>
              <w:t>Information Security</w:t>
            </w:r>
          </w:p>
        </w:tc>
        <w:tc>
          <w:tcPr>
            <w:tcW w:w="6804" w:type="dxa"/>
          </w:tcPr>
          <w:p w14:paraId="07A5BF2C" w14:textId="0C56C456" w:rsidR="003B435D" w:rsidRDefault="003B435D" w:rsidP="003B435D">
            <w:pPr>
              <w:cnfStyle w:val="000000000000" w:firstRow="0" w:lastRow="0" w:firstColumn="0" w:lastColumn="0" w:oddVBand="0" w:evenVBand="0" w:oddHBand="0" w:evenHBand="0" w:firstRowFirstColumn="0" w:firstRowLastColumn="0" w:lastRowFirstColumn="0" w:lastRowLastColumn="0"/>
            </w:pPr>
            <w:r>
              <w:t xml:space="preserve">Preservation of confidentiality, integrity and availability of information </w:t>
            </w:r>
          </w:p>
        </w:tc>
      </w:tr>
      <w:tr w:rsidR="003B435D" w14:paraId="6A8A8D0D" w14:textId="77777777" w:rsidTr="00B20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4074180" w14:textId="178460ED" w:rsidR="003B435D" w:rsidRDefault="003B435D" w:rsidP="003B435D">
            <w:r>
              <w:t>Incident</w:t>
            </w:r>
          </w:p>
        </w:tc>
        <w:tc>
          <w:tcPr>
            <w:tcW w:w="6804" w:type="dxa"/>
          </w:tcPr>
          <w:p w14:paraId="1568A4E4" w14:textId="1D5C8FAE" w:rsidR="003B435D" w:rsidRDefault="003B435D" w:rsidP="003B435D">
            <w:pPr>
              <w:cnfStyle w:val="000000100000" w:firstRow="0" w:lastRow="0" w:firstColumn="0" w:lastColumn="0" w:oddVBand="0" w:evenVBand="0" w:oddHBand="1" w:evenHBand="0" w:firstRowFirstColumn="0" w:firstRowLastColumn="0" w:lastRowFirstColumn="0" w:lastRowLastColumn="0"/>
            </w:pPr>
            <w:r>
              <w:t>An event that affects the confidentiality, integrity or availability of information</w:t>
            </w:r>
          </w:p>
        </w:tc>
      </w:tr>
      <w:tr w:rsidR="003B435D" w14:paraId="1D0CED58" w14:textId="77777777" w:rsidTr="00B209C7">
        <w:tc>
          <w:tcPr>
            <w:cnfStyle w:val="001000000000" w:firstRow="0" w:lastRow="0" w:firstColumn="1" w:lastColumn="0" w:oddVBand="0" w:evenVBand="0" w:oddHBand="0" w:evenHBand="0" w:firstRowFirstColumn="0" w:firstRowLastColumn="0" w:lastRowFirstColumn="0" w:lastRowLastColumn="0"/>
            <w:tcW w:w="2689" w:type="dxa"/>
          </w:tcPr>
          <w:p w14:paraId="30B5FC07" w14:textId="05770268" w:rsidR="003B435D" w:rsidRDefault="003B435D" w:rsidP="003B435D">
            <w:r>
              <w:t>Policy</w:t>
            </w:r>
          </w:p>
        </w:tc>
        <w:tc>
          <w:tcPr>
            <w:tcW w:w="6804" w:type="dxa"/>
          </w:tcPr>
          <w:p w14:paraId="5092712F" w14:textId="1CC49898" w:rsidR="003B435D" w:rsidRDefault="003B435D" w:rsidP="003B435D">
            <w:pPr>
              <w:cnfStyle w:val="000000000000" w:firstRow="0" w:lastRow="0" w:firstColumn="0" w:lastColumn="0" w:oddVBand="0" w:evenVBand="0" w:oddHBand="0" w:evenHBand="0" w:firstRowFirstColumn="0" w:firstRowLastColumn="0" w:lastRowFirstColumn="0" w:lastRowLastColumn="0"/>
            </w:pPr>
            <w:r>
              <w:t>Overall intention and direction as formally expressed by management</w:t>
            </w:r>
          </w:p>
        </w:tc>
      </w:tr>
      <w:tr w:rsidR="003B435D" w14:paraId="171BA8CE" w14:textId="77777777" w:rsidTr="00B20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3FA1792" w14:textId="3FC3F76E" w:rsidR="003B435D" w:rsidRDefault="003B435D" w:rsidP="003B435D">
            <w:r>
              <w:t>Risk</w:t>
            </w:r>
          </w:p>
        </w:tc>
        <w:tc>
          <w:tcPr>
            <w:tcW w:w="6804" w:type="dxa"/>
          </w:tcPr>
          <w:p w14:paraId="7C670444" w14:textId="2BF0D94D" w:rsidR="003B435D" w:rsidRDefault="003B435D" w:rsidP="003B435D">
            <w:pPr>
              <w:cnfStyle w:val="000000100000" w:firstRow="0" w:lastRow="0" w:firstColumn="0" w:lastColumn="0" w:oddVBand="0" w:evenVBand="0" w:oddHBand="1" w:evenHBand="0" w:firstRowFirstColumn="0" w:firstRowLastColumn="0" w:lastRowFirstColumn="0" w:lastRowLastColumn="0"/>
            </w:pPr>
            <w:r>
              <w:t>Combination of the probability of an event and its consequence</w:t>
            </w:r>
          </w:p>
        </w:tc>
      </w:tr>
      <w:tr w:rsidR="003B435D" w14:paraId="478B6891" w14:textId="77777777" w:rsidTr="00B209C7">
        <w:tc>
          <w:tcPr>
            <w:cnfStyle w:val="001000000000" w:firstRow="0" w:lastRow="0" w:firstColumn="1" w:lastColumn="0" w:oddVBand="0" w:evenVBand="0" w:oddHBand="0" w:evenHBand="0" w:firstRowFirstColumn="0" w:firstRowLastColumn="0" w:lastRowFirstColumn="0" w:lastRowLastColumn="0"/>
            <w:tcW w:w="2689" w:type="dxa"/>
          </w:tcPr>
          <w:p w14:paraId="1B27A34E" w14:textId="505BC2B2" w:rsidR="003B435D" w:rsidRDefault="003B435D" w:rsidP="003B435D">
            <w:r>
              <w:t>Third Party</w:t>
            </w:r>
          </w:p>
        </w:tc>
        <w:tc>
          <w:tcPr>
            <w:tcW w:w="6804" w:type="dxa"/>
          </w:tcPr>
          <w:p w14:paraId="5AB0B137" w14:textId="544440D4" w:rsidR="003B435D" w:rsidRDefault="003B435D" w:rsidP="003B435D">
            <w:pPr>
              <w:cnfStyle w:val="000000000000" w:firstRow="0" w:lastRow="0" w:firstColumn="0" w:lastColumn="0" w:oddVBand="0" w:evenVBand="0" w:oddHBand="0" w:evenHBand="0" w:firstRowFirstColumn="0" w:firstRowLastColumn="0" w:lastRowFirstColumn="0" w:lastRowLastColumn="0"/>
            </w:pPr>
            <w:r>
              <w:t>Person or body that is recognised as being independent</w:t>
            </w:r>
          </w:p>
        </w:tc>
      </w:tr>
      <w:tr w:rsidR="003B435D" w14:paraId="5FAED5E4" w14:textId="77777777" w:rsidTr="00B20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F63D9EE" w14:textId="535368F1" w:rsidR="003B435D" w:rsidRDefault="003B435D" w:rsidP="003B435D">
            <w:r>
              <w:t>Threat</w:t>
            </w:r>
          </w:p>
        </w:tc>
        <w:tc>
          <w:tcPr>
            <w:tcW w:w="6804" w:type="dxa"/>
          </w:tcPr>
          <w:p w14:paraId="04AC43B9" w14:textId="651586E8" w:rsidR="003B435D" w:rsidRDefault="003B435D" w:rsidP="003B435D">
            <w:pPr>
              <w:cnfStyle w:val="000000100000" w:firstRow="0" w:lastRow="0" w:firstColumn="0" w:lastColumn="0" w:oddVBand="0" w:evenVBand="0" w:oddHBand="1" w:evenHBand="0" w:firstRowFirstColumn="0" w:firstRowLastColumn="0" w:lastRowFirstColumn="0" w:lastRowLastColumn="0"/>
            </w:pPr>
            <w:r>
              <w:t xml:space="preserve">Potential cause of an unwanted incident, which may result in harm to a system </w:t>
            </w:r>
          </w:p>
        </w:tc>
      </w:tr>
      <w:tr w:rsidR="003B435D" w14:paraId="72DF2447" w14:textId="77777777" w:rsidTr="00B209C7">
        <w:tc>
          <w:tcPr>
            <w:cnfStyle w:val="001000000000" w:firstRow="0" w:lastRow="0" w:firstColumn="1" w:lastColumn="0" w:oddVBand="0" w:evenVBand="0" w:oddHBand="0" w:evenHBand="0" w:firstRowFirstColumn="0" w:firstRowLastColumn="0" w:lastRowFirstColumn="0" w:lastRowLastColumn="0"/>
            <w:tcW w:w="2689" w:type="dxa"/>
          </w:tcPr>
          <w:p w14:paraId="5C24E74A" w14:textId="00A8D9F9" w:rsidR="003B435D" w:rsidRDefault="003B435D" w:rsidP="003B435D">
            <w:r>
              <w:t>Vulner</w:t>
            </w:r>
            <w:r w:rsidR="004A008E">
              <w:t>a</w:t>
            </w:r>
            <w:r>
              <w:t>bility</w:t>
            </w:r>
          </w:p>
        </w:tc>
        <w:tc>
          <w:tcPr>
            <w:tcW w:w="6804" w:type="dxa"/>
          </w:tcPr>
          <w:p w14:paraId="0EC9E83D" w14:textId="24D711A6" w:rsidR="003B435D" w:rsidRDefault="003B435D" w:rsidP="003B435D">
            <w:pPr>
              <w:cnfStyle w:val="000000000000" w:firstRow="0" w:lastRow="0" w:firstColumn="0" w:lastColumn="0" w:oddVBand="0" w:evenVBand="0" w:oddHBand="0" w:evenHBand="0" w:firstRowFirstColumn="0" w:firstRowLastColumn="0" w:lastRowFirstColumn="0" w:lastRowLastColumn="0"/>
            </w:pPr>
            <w:r>
              <w:t>Weakness of an asset that can be exploited by one or more threats</w:t>
            </w:r>
          </w:p>
        </w:tc>
      </w:tr>
    </w:tbl>
    <w:p w14:paraId="1122214C" w14:textId="77777777" w:rsidR="003B435D" w:rsidRDefault="003B435D" w:rsidP="003B435D"/>
    <w:p w14:paraId="13649828" w14:textId="5E5F3E57" w:rsidR="003C2B38" w:rsidRPr="00E262E5" w:rsidRDefault="003B435D" w:rsidP="003C2B38">
      <w:pPr>
        <w:jc w:val="center"/>
      </w:pPr>
      <w:r>
        <w:t xml:space="preserve"> </w:t>
      </w:r>
      <w:r w:rsidR="003C2B38" w:rsidRPr="00E262E5">
        <w:rPr>
          <w:i/>
          <w:iCs/>
          <w:u w:val="single"/>
        </w:rPr>
        <w:t xml:space="preserve">Table </w:t>
      </w:r>
      <w:r w:rsidR="003C2B38">
        <w:rPr>
          <w:i/>
          <w:iCs/>
          <w:u w:val="single"/>
        </w:rPr>
        <w:t>1</w:t>
      </w:r>
      <w:r w:rsidR="003C2B38" w:rsidRPr="00E262E5">
        <w:rPr>
          <w:i/>
          <w:iCs/>
          <w:u w:val="single"/>
        </w:rPr>
        <w:t> </w:t>
      </w:r>
      <w:r w:rsidR="003C2B38">
        <w:rPr>
          <w:i/>
          <w:iCs/>
          <w:u w:val="single"/>
        </w:rPr>
        <w:t>–</w:t>
      </w:r>
      <w:r w:rsidR="003C2B38" w:rsidRPr="00E262E5">
        <w:rPr>
          <w:i/>
          <w:iCs/>
          <w:u w:val="single"/>
        </w:rPr>
        <w:t xml:space="preserve"> </w:t>
      </w:r>
      <w:r w:rsidR="003C2B38">
        <w:rPr>
          <w:i/>
          <w:iCs/>
          <w:u w:val="single"/>
        </w:rPr>
        <w:t>Terms and Definitions</w:t>
      </w:r>
    </w:p>
    <w:p w14:paraId="51A3BA55" w14:textId="298C944D" w:rsidR="003B435D" w:rsidRDefault="003B435D" w:rsidP="003B435D"/>
    <w:p w14:paraId="5F8ABF8C" w14:textId="65D72590" w:rsidR="003B435D" w:rsidRDefault="003B435D" w:rsidP="003B435D">
      <w:pPr>
        <w:pStyle w:val="Heading1"/>
      </w:pPr>
      <w:r>
        <w:t xml:space="preserve">Structure of this Policy </w:t>
      </w:r>
    </w:p>
    <w:p w14:paraId="68E33706" w14:textId="77777777" w:rsidR="003B435D" w:rsidRDefault="003B435D" w:rsidP="003B435D"/>
    <w:p w14:paraId="1D6DB667" w14:textId="182155E2" w:rsidR="003B435D" w:rsidRDefault="003B435D" w:rsidP="003B435D">
      <w:r>
        <w:t>This policy is based upon ISO 2700</w:t>
      </w:r>
      <w:r w:rsidR="00DD2BF8">
        <w:t>1</w:t>
      </w:r>
      <w:r>
        <w:t xml:space="preserve"> and is structured to include the main security category areas within the standard.  </w:t>
      </w:r>
    </w:p>
    <w:p w14:paraId="09763A84" w14:textId="40F48746" w:rsidR="003B435D" w:rsidRDefault="003B435D" w:rsidP="003B435D">
      <w:pPr>
        <w:pStyle w:val="Heading1"/>
      </w:pPr>
      <w:r>
        <w:t xml:space="preserve">Risks </w:t>
      </w:r>
    </w:p>
    <w:p w14:paraId="17AF9F90" w14:textId="77777777" w:rsidR="003B435D" w:rsidRDefault="003B435D" w:rsidP="003B435D"/>
    <w:p w14:paraId="47892756" w14:textId="47DA784C" w:rsidR="003B435D" w:rsidRDefault="003B435D" w:rsidP="003B435D">
      <w:r>
        <w:t xml:space="preserve">Data and information which is collected, analysed, stored, communicated and reported upon may be subject to theft, misuse, loss and corruption. </w:t>
      </w:r>
    </w:p>
    <w:p w14:paraId="73B6E7C7" w14:textId="77777777" w:rsidR="003B435D" w:rsidRDefault="003B435D" w:rsidP="003B435D">
      <w:r>
        <w:t xml:space="preserve"> </w:t>
      </w:r>
    </w:p>
    <w:p w14:paraId="4AE6BFD1" w14:textId="2E572156" w:rsidR="003B435D" w:rsidRDefault="003B435D" w:rsidP="003B435D">
      <w:r>
        <w:t xml:space="preserve">Data and information may be put at risk by poor education and training, misuse and the breach of security controls. </w:t>
      </w:r>
    </w:p>
    <w:p w14:paraId="11599EF4" w14:textId="77777777" w:rsidR="003B435D" w:rsidRDefault="003B435D" w:rsidP="003B435D">
      <w:r>
        <w:t xml:space="preserve"> </w:t>
      </w:r>
    </w:p>
    <w:p w14:paraId="3633AAF1" w14:textId="00AAE4F8" w:rsidR="003B435D" w:rsidRDefault="003B435D" w:rsidP="003B435D">
      <w:r>
        <w:t xml:space="preserve">Information security incidents can give rise to embarrassment, financial loss, noncompliance with standards and legislation as well as possible judgements being made against the Improvement Service. </w:t>
      </w:r>
    </w:p>
    <w:p w14:paraId="7731B125" w14:textId="77777777" w:rsidR="003B435D" w:rsidRDefault="003B435D" w:rsidP="003B435D">
      <w:r>
        <w:t xml:space="preserve"> </w:t>
      </w:r>
    </w:p>
    <w:p w14:paraId="4865D13A" w14:textId="50544EA8" w:rsidR="003B435D" w:rsidRDefault="003B435D" w:rsidP="003B435D">
      <w:r>
        <w:t xml:space="preserve">The Improvement Service will undertake risk assessments to identify, quantify and prioritise risks. Controls will be selected and implemented to mitigate the risks identified. </w:t>
      </w:r>
    </w:p>
    <w:p w14:paraId="0518706C" w14:textId="77777777" w:rsidR="003B435D" w:rsidRDefault="003B435D" w:rsidP="003B435D">
      <w:r>
        <w:t xml:space="preserve"> </w:t>
      </w:r>
    </w:p>
    <w:p w14:paraId="159D8440" w14:textId="24DCB61A" w:rsidR="003B435D" w:rsidRDefault="003B435D" w:rsidP="003B435D">
      <w:r>
        <w:t xml:space="preserve">Risk assessments will be undertaken using a systematic approach to identify and estimate the magnitude of the risks. </w:t>
      </w:r>
    </w:p>
    <w:p w14:paraId="19F0CE0A" w14:textId="77777777" w:rsidR="003B435D" w:rsidRDefault="003B435D" w:rsidP="003B435D"/>
    <w:p w14:paraId="56E75ABF" w14:textId="46518B5D" w:rsidR="003B435D" w:rsidRDefault="00121BAF" w:rsidP="003B435D">
      <w:pPr>
        <w:pStyle w:val="Heading1"/>
      </w:pPr>
      <w:r>
        <w:t xml:space="preserve">Information </w:t>
      </w:r>
      <w:r w:rsidR="003B435D">
        <w:t>Security Polic</w:t>
      </w:r>
      <w:r>
        <w:t>ies</w:t>
      </w:r>
    </w:p>
    <w:p w14:paraId="049146E1" w14:textId="2D7C32E3" w:rsidR="003B435D" w:rsidRDefault="003B435D" w:rsidP="003B435D">
      <w:pPr>
        <w:pStyle w:val="Heading2"/>
      </w:pPr>
      <w:r>
        <w:t xml:space="preserve">Information Security Policy Document </w:t>
      </w:r>
    </w:p>
    <w:p w14:paraId="7095FE8D" w14:textId="0C2D873B" w:rsidR="003B435D" w:rsidRDefault="003B435D" w:rsidP="003B435D">
      <w:r>
        <w:t>Th</w:t>
      </w:r>
      <w:r w:rsidR="00730B53">
        <w:t>is</w:t>
      </w:r>
      <w:r>
        <w:t xml:space="preserve"> </w:t>
      </w:r>
      <w:r w:rsidR="00730B53">
        <w:t>I</w:t>
      </w:r>
      <w:r>
        <w:t xml:space="preserve">nformation </w:t>
      </w:r>
      <w:r w:rsidR="00730B53">
        <w:t>S</w:t>
      </w:r>
      <w:r>
        <w:t xml:space="preserve">ecurity policy is approved by the IS Board and Senior Management Team and is communicated to all staff and employees of the organisation, contractual third parties and agents of the organisation. </w:t>
      </w:r>
    </w:p>
    <w:p w14:paraId="0DBAC3C3" w14:textId="77777777" w:rsidR="003B435D" w:rsidRDefault="003B435D" w:rsidP="003B435D"/>
    <w:p w14:paraId="45535E49" w14:textId="43CB3DAE" w:rsidR="003B435D" w:rsidRDefault="003B435D" w:rsidP="003B435D">
      <w:pPr>
        <w:pStyle w:val="Heading2"/>
      </w:pPr>
      <w:r>
        <w:t xml:space="preserve">Review </w:t>
      </w:r>
    </w:p>
    <w:p w14:paraId="2A54E220" w14:textId="192A32EC" w:rsidR="003B435D" w:rsidRDefault="003B435D" w:rsidP="003B435D">
      <w:r>
        <w:t>The security requirements for the organisation will be reviewed at least annually by the Chief Security Officer</w:t>
      </w:r>
      <w:r w:rsidR="007E0F0E">
        <w:t xml:space="preserve">, </w:t>
      </w:r>
      <w:r>
        <w:t xml:space="preserve">approved by the IS Board. Formal requests for changes will be raised for incorporation into the Information Security Policy, processes and procedures. </w:t>
      </w:r>
    </w:p>
    <w:p w14:paraId="1573A3AB" w14:textId="77777777" w:rsidR="003B435D" w:rsidRDefault="003B435D" w:rsidP="003B435D"/>
    <w:p w14:paraId="105A99E3" w14:textId="66DBED83" w:rsidR="003B435D" w:rsidRDefault="003B435D" w:rsidP="003B435D">
      <w:pPr>
        <w:pStyle w:val="Heading1"/>
      </w:pPr>
      <w:r>
        <w:t xml:space="preserve">Organisation of Information Security </w:t>
      </w:r>
    </w:p>
    <w:p w14:paraId="3402FB0E" w14:textId="77777777" w:rsidR="00121BAF" w:rsidRDefault="00121BAF" w:rsidP="0008424B">
      <w:pPr>
        <w:pStyle w:val="Heading2"/>
      </w:pPr>
      <w:r>
        <w:t xml:space="preserve">Information Security Responsibilities </w:t>
      </w:r>
    </w:p>
    <w:p w14:paraId="54B20C7D" w14:textId="11C98C12" w:rsidR="0008424B" w:rsidRDefault="0008424B" w:rsidP="00121BAF">
      <w:r>
        <w:t>The IS Board has approved this policy</w:t>
      </w:r>
      <w:r w:rsidR="00DD2BF8">
        <w:t>.</w:t>
      </w:r>
    </w:p>
    <w:p w14:paraId="177E15E5" w14:textId="77777777" w:rsidR="0008424B" w:rsidRDefault="0008424B" w:rsidP="00121BAF"/>
    <w:p w14:paraId="716613FC" w14:textId="647A027D" w:rsidR="00121BAF" w:rsidRDefault="00121BAF" w:rsidP="00121BAF">
      <w:r>
        <w:t xml:space="preserve">The Chief Security Officer is the designated owner of the Information Security Policy and is responsible for the maintenance and review of the Information Security Policy, processes and procedures. </w:t>
      </w:r>
    </w:p>
    <w:p w14:paraId="7419AAD2" w14:textId="77777777" w:rsidR="00121BAF" w:rsidRDefault="00121BAF" w:rsidP="00121BAF">
      <w:r>
        <w:t xml:space="preserve"> </w:t>
      </w:r>
    </w:p>
    <w:p w14:paraId="17BB394C" w14:textId="77777777" w:rsidR="00121BAF" w:rsidRDefault="00121BAF" w:rsidP="00121BAF">
      <w:r>
        <w:t xml:space="preserve">The Senior Management Team is responsible for ensuring that all staff and employees, contractual third parties and agents of the organisation are made aware of and comply with the Information Security Policy, processes and procedures. </w:t>
      </w:r>
    </w:p>
    <w:p w14:paraId="0491C798" w14:textId="77777777" w:rsidR="00121BAF" w:rsidRDefault="00121BAF" w:rsidP="00121BAF">
      <w:r>
        <w:t xml:space="preserve"> </w:t>
      </w:r>
    </w:p>
    <w:p w14:paraId="67A2C16C" w14:textId="77777777" w:rsidR="00121BAF" w:rsidRDefault="00121BAF" w:rsidP="00121BAF">
      <w:r>
        <w:t xml:space="preserve">The Improvement Service’s auditors will review the adequacy of the controls that are implemented to protect the organisation’s information and recommend improvements where deficiencies are found. </w:t>
      </w:r>
    </w:p>
    <w:p w14:paraId="69E336B5" w14:textId="77777777" w:rsidR="00121BAF" w:rsidRDefault="00121BAF" w:rsidP="00121BAF">
      <w:r>
        <w:t xml:space="preserve"> </w:t>
      </w:r>
    </w:p>
    <w:p w14:paraId="4CB69BDD" w14:textId="77777777" w:rsidR="00121BAF" w:rsidRDefault="00121BAF" w:rsidP="00121BAF">
      <w:r>
        <w:t xml:space="preserve">All staff and employees, contractual third parties and agents of the Improvement Service accessing the organisation’s information are required to adhere to the Information Security Policy, processes and procedures. </w:t>
      </w:r>
    </w:p>
    <w:p w14:paraId="14864C86" w14:textId="77777777" w:rsidR="00121BAF" w:rsidRDefault="00121BAF" w:rsidP="00121BAF">
      <w:r>
        <w:t xml:space="preserve"> </w:t>
      </w:r>
    </w:p>
    <w:p w14:paraId="553CB8F5" w14:textId="51110B20" w:rsidR="003B435D" w:rsidRDefault="003B435D" w:rsidP="0008424B">
      <w:pPr>
        <w:pStyle w:val="Heading2"/>
      </w:pPr>
      <w:r>
        <w:t xml:space="preserve">Information Security Coordination </w:t>
      </w:r>
    </w:p>
    <w:p w14:paraId="1590701D" w14:textId="69570318" w:rsidR="003B435D" w:rsidRDefault="003B435D" w:rsidP="003B435D">
      <w:r>
        <w:t xml:space="preserve">The security of information will be managed within an approved framework through assigning roles and co-ordinating </w:t>
      </w:r>
      <w:r w:rsidR="00161D7F">
        <w:t xml:space="preserve">the </w:t>
      </w:r>
      <w:r>
        <w:t xml:space="preserve">implementation of this security policy across the organisation and in its dealings with third parties.  </w:t>
      </w:r>
    </w:p>
    <w:p w14:paraId="6129CB98" w14:textId="77777777" w:rsidR="003B435D" w:rsidRDefault="003B435D" w:rsidP="003B435D">
      <w:r>
        <w:t xml:space="preserve"> </w:t>
      </w:r>
    </w:p>
    <w:p w14:paraId="60B1595F" w14:textId="15CCA8DD" w:rsidR="009D2684" w:rsidRDefault="003B435D" w:rsidP="003B435D">
      <w:r>
        <w:t xml:space="preserve">Specialist external advice will be drawn upon where necessary to maintain the Information Security Policy, processes and procedures </w:t>
      </w:r>
      <w:r w:rsidR="00CA5944">
        <w:t xml:space="preserve">and </w:t>
      </w:r>
      <w:r>
        <w:t xml:space="preserve">to address new and emerging threats and standards. </w:t>
      </w:r>
    </w:p>
    <w:p w14:paraId="47385EA0" w14:textId="77777777" w:rsidR="00793470" w:rsidRDefault="00793470" w:rsidP="00793470"/>
    <w:p w14:paraId="46EBED6D" w14:textId="521168AB" w:rsidR="00793470" w:rsidRPr="00793470" w:rsidRDefault="00793470" w:rsidP="00793470">
      <w:pPr>
        <w:rPr>
          <w:highlight w:val="yellow"/>
        </w:rPr>
      </w:pPr>
      <w:r w:rsidRPr="00793470">
        <w:rPr>
          <w:highlight w:val="yellow"/>
        </w:rPr>
        <w:t>NEXT SECTION AMENDED</w:t>
      </w:r>
    </w:p>
    <w:p w14:paraId="00E9482F" w14:textId="6552DD32" w:rsidR="00793470" w:rsidRDefault="00793470" w:rsidP="00793470">
      <w:r w:rsidRPr="00793470">
        <w:rPr>
          <w:highlight w:val="yellow"/>
        </w:rPr>
        <w:t>BEGIN</w:t>
      </w:r>
    </w:p>
    <w:p w14:paraId="422F2B1A" w14:textId="1611E0DB" w:rsidR="00266FEC" w:rsidRDefault="00266FEC" w:rsidP="00266FEC">
      <w:pPr>
        <w:pStyle w:val="Heading1"/>
      </w:pPr>
      <w:r>
        <w:t>Remote and Mobile Working</w:t>
      </w:r>
    </w:p>
    <w:p w14:paraId="19BCE928" w14:textId="7C4A389D" w:rsidR="00266FEC" w:rsidRDefault="00266FEC" w:rsidP="00266FEC">
      <w:r>
        <w:t xml:space="preserve">As an agile business, the Improvement Service is constructed to support </w:t>
      </w:r>
      <w:r w:rsidR="00603455">
        <w:t xml:space="preserve">a flexible working regime that includes staff working </w:t>
      </w:r>
      <w:r>
        <w:t>remote</w:t>
      </w:r>
      <w:r w:rsidR="00603455">
        <w:t>ly</w:t>
      </w:r>
      <w:r>
        <w:t xml:space="preserve"> and </w:t>
      </w:r>
      <w:r w:rsidR="00603455">
        <w:t>from home</w:t>
      </w:r>
      <w:r>
        <w:t xml:space="preserve">.  More information on flexible working can be found in the Flexible Working Policy in the staff handbook (available online in the Staff Handbook </w:t>
      </w:r>
      <w:proofErr w:type="spellStart"/>
      <w:r>
        <w:t>Sharepoint</w:t>
      </w:r>
      <w:proofErr w:type="spellEnd"/>
      <w:r>
        <w:t xml:space="preserve"> portal).</w:t>
      </w:r>
    </w:p>
    <w:p w14:paraId="466ACCBB" w14:textId="19312BC5" w:rsidR="00793470" w:rsidRDefault="00793470" w:rsidP="00266FEC"/>
    <w:p w14:paraId="6A540BB7" w14:textId="77777777" w:rsidR="00BA1A3C" w:rsidRDefault="00BA1A3C" w:rsidP="00BA1A3C">
      <w:r>
        <w:t>To support remote and mobile working, the Improvement Service recognises the importance that mobile devices, such as smartphones and tablet computers, have in helping to achieve business objectives.</w:t>
      </w:r>
    </w:p>
    <w:p w14:paraId="35524A1E" w14:textId="77777777" w:rsidR="00BA1A3C" w:rsidRDefault="00BA1A3C" w:rsidP="00BA1A3C">
      <w:r>
        <w:t xml:space="preserve"> </w:t>
      </w:r>
    </w:p>
    <w:p w14:paraId="30F2242F" w14:textId="77777777" w:rsidR="00BA1A3C" w:rsidRDefault="00BA1A3C" w:rsidP="00BA1A3C">
      <w:r>
        <w:t>However, mobile devices also represent a significant risk to data security. If the appropriate security measures are not applied, unauthorised access to key business data and infrastructure may be possible.</w:t>
      </w:r>
    </w:p>
    <w:p w14:paraId="5462FD42" w14:textId="77777777" w:rsidR="00BA1A3C" w:rsidRDefault="00BA1A3C" w:rsidP="00BA1A3C"/>
    <w:p w14:paraId="1AF2004C" w14:textId="44B5EA1C" w:rsidR="00337483" w:rsidRDefault="00337483" w:rsidP="00337483">
      <w:pPr>
        <w:pStyle w:val="Heading2"/>
      </w:pPr>
      <w:r>
        <w:t>Remote Working</w:t>
      </w:r>
    </w:p>
    <w:p w14:paraId="5FFEE45B" w14:textId="77777777" w:rsidR="00337483" w:rsidRDefault="00337483" w:rsidP="00337483"/>
    <w:p w14:paraId="4A764886" w14:textId="18D289D8" w:rsidR="00337483" w:rsidRDefault="00337483" w:rsidP="00337483">
      <w:r>
        <w:t>This section applies specifically to all workers who:</w:t>
      </w:r>
    </w:p>
    <w:p w14:paraId="46507CDA" w14:textId="77777777" w:rsidR="00337483" w:rsidRDefault="00337483" w:rsidP="00337483"/>
    <w:p w14:paraId="36C92967" w14:textId="1A1F568F" w:rsidR="00337483" w:rsidRDefault="00337483" w:rsidP="00337483">
      <w:pPr>
        <w:pStyle w:val="ListParagraph"/>
        <w:numPr>
          <w:ilvl w:val="0"/>
          <w:numId w:val="12"/>
        </w:numPr>
      </w:pPr>
      <w:r>
        <w:t>spend a large proportion of their time working from home; and/or</w:t>
      </w:r>
    </w:p>
    <w:p w14:paraId="5E461D66" w14:textId="595049F0" w:rsidR="00337483" w:rsidRDefault="00337483" w:rsidP="00337483">
      <w:pPr>
        <w:pStyle w:val="ListParagraph"/>
        <w:numPr>
          <w:ilvl w:val="0"/>
          <w:numId w:val="12"/>
        </w:numPr>
      </w:pPr>
      <w:r>
        <w:t>travel and therefore use hotels, customer premises etc.</w:t>
      </w:r>
    </w:p>
    <w:p w14:paraId="1881936C" w14:textId="77777777" w:rsidR="00337483" w:rsidRDefault="00337483" w:rsidP="00337483"/>
    <w:p w14:paraId="5CEB22BC" w14:textId="02DDEAC7" w:rsidR="00337483" w:rsidRDefault="00337483" w:rsidP="00337483">
      <w:r>
        <w:t xml:space="preserve">Staff working remotely are expected to take suitable precautions to ensure that the same principles of information security and governance that apply in the office are extended to the </w:t>
      </w:r>
      <w:r w:rsidR="00BA1A3C">
        <w:t xml:space="preserve">remote or </w:t>
      </w:r>
      <w:r>
        <w:t>home environment.</w:t>
      </w:r>
    </w:p>
    <w:p w14:paraId="16847A36" w14:textId="735119A5" w:rsidR="00BA1A3C" w:rsidRDefault="00BA1A3C" w:rsidP="00337483"/>
    <w:p w14:paraId="46C6C8A1" w14:textId="67FF58AC" w:rsidR="00337483" w:rsidRDefault="00BA1A3C" w:rsidP="00266FEC">
      <w:r>
        <w:t>The following policy statements apply to all home and remote workers:</w:t>
      </w:r>
    </w:p>
    <w:p w14:paraId="49F9ADFA" w14:textId="0A943474" w:rsidR="00BA1A3C" w:rsidRDefault="00BA1A3C" w:rsidP="00266FEC"/>
    <w:p w14:paraId="30578A59" w14:textId="416A529E" w:rsidR="0063340D" w:rsidRDefault="0063340D" w:rsidP="00BA1A3C">
      <w:pPr>
        <w:pStyle w:val="ListParagraph"/>
        <w:numPr>
          <w:ilvl w:val="0"/>
          <w:numId w:val="13"/>
        </w:numPr>
      </w:pPr>
      <w:r>
        <w:t>All remote working must be</w:t>
      </w:r>
      <w:r w:rsidRPr="0063340D">
        <w:t xml:space="preserve"> undertaken safely from an information security perspective</w:t>
      </w:r>
    </w:p>
    <w:p w14:paraId="0F1963E4" w14:textId="39EC157F" w:rsidR="0063340D" w:rsidRDefault="0063340D" w:rsidP="00BA1A3C">
      <w:pPr>
        <w:pStyle w:val="ListParagraph"/>
        <w:numPr>
          <w:ilvl w:val="0"/>
          <w:numId w:val="13"/>
        </w:numPr>
      </w:pPr>
      <w:r>
        <w:t>I</w:t>
      </w:r>
      <w:r w:rsidRPr="0063340D">
        <w:t xml:space="preserve">nformation security risks related to each specific </w:t>
      </w:r>
      <w:r>
        <w:t xml:space="preserve">remote </w:t>
      </w:r>
      <w:r w:rsidRPr="0063340D">
        <w:t xml:space="preserve">working scheme </w:t>
      </w:r>
      <w:r>
        <w:t>must be</w:t>
      </w:r>
      <w:r w:rsidRPr="0063340D">
        <w:t xml:space="preserve"> identified, assessed and managed</w:t>
      </w:r>
    </w:p>
    <w:p w14:paraId="72ACF771" w14:textId="7C96AF91" w:rsidR="00BA1A3C" w:rsidRDefault="00BA1A3C" w:rsidP="00BA1A3C">
      <w:pPr>
        <w:pStyle w:val="ListParagraph"/>
        <w:numPr>
          <w:ilvl w:val="0"/>
          <w:numId w:val="13"/>
        </w:numPr>
      </w:pPr>
      <w:r>
        <w:t>All remote workers must follow the procedures and guidance for home and mobile working</w:t>
      </w:r>
      <w:r w:rsidR="0063340D">
        <w:t xml:space="preserve"> </w:t>
      </w:r>
      <w:r>
        <w:t>found on the Information Security portal</w:t>
      </w:r>
    </w:p>
    <w:p w14:paraId="011CF9A8" w14:textId="77777777" w:rsidR="00337483" w:rsidRDefault="00337483" w:rsidP="00266FEC"/>
    <w:p w14:paraId="509FE39D" w14:textId="53279F7F" w:rsidR="00337483" w:rsidRDefault="00337483" w:rsidP="00337483">
      <w:pPr>
        <w:pStyle w:val="Heading2"/>
      </w:pPr>
      <w:r>
        <w:t>Mobile Devices</w:t>
      </w:r>
    </w:p>
    <w:p w14:paraId="55D1733E" w14:textId="5F3EF03B" w:rsidR="00266FEC" w:rsidRDefault="00266FEC" w:rsidP="00266FEC"/>
    <w:p w14:paraId="0C92F80E" w14:textId="766D0D74" w:rsidR="00266FEC" w:rsidRDefault="00266FEC" w:rsidP="00266FEC">
      <w:r>
        <w:t xml:space="preserve">The following statements apply to all mobile devices connecting to Improvement Service assets. </w:t>
      </w:r>
    </w:p>
    <w:p w14:paraId="3B73B087" w14:textId="77777777" w:rsidR="00266FEC" w:rsidRDefault="00266FEC" w:rsidP="00266FEC"/>
    <w:p w14:paraId="376CB5B5" w14:textId="77777777" w:rsidR="00337483" w:rsidRDefault="00337483" w:rsidP="00337483">
      <w:pPr>
        <w:pStyle w:val="ListParagraph"/>
        <w:numPr>
          <w:ilvl w:val="0"/>
          <w:numId w:val="10"/>
        </w:numPr>
      </w:pPr>
      <w:r>
        <w:t>Where possible, devices supplied by the Improvement Service should be used to connect to Improvement Service data, networks and services</w:t>
      </w:r>
    </w:p>
    <w:p w14:paraId="6083B5A5" w14:textId="77777777" w:rsidR="00337483" w:rsidRDefault="00337483" w:rsidP="00337483">
      <w:pPr>
        <w:pStyle w:val="ListParagraph"/>
        <w:numPr>
          <w:ilvl w:val="0"/>
          <w:numId w:val="10"/>
        </w:numPr>
      </w:pPr>
      <w:r>
        <w:t>The use of personal devices to connect to Internet-based services such as Office 365 is permitted but must follow the guidelines for mobile and remote working.  This guidance can be found on the Information Security portal</w:t>
      </w:r>
    </w:p>
    <w:p w14:paraId="37DC736D" w14:textId="3C0CA504" w:rsidR="00337483" w:rsidRDefault="00337483" w:rsidP="00337483">
      <w:pPr>
        <w:pStyle w:val="ListParagraph"/>
        <w:numPr>
          <w:ilvl w:val="0"/>
          <w:numId w:val="10"/>
        </w:numPr>
      </w:pPr>
      <w:r>
        <w:t xml:space="preserve">The use of such devices will be </w:t>
      </w:r>
      <w:proofErr w:type="gramStart"/>
      <w:r>
        <w:t>monitored</w:t>
      </w:r>
      <w:proofErr w:type="gramEnd"/>
      <w:r>
        <w:t xml:space="preserve"> and access refused to those that do not meet </w:t>
      </w:r>
      <w:r w:rsidR="0063340D">
        <w:t xml:space="preserve">approved </w:t>
      </w:r>
      <w:r>
        <w:t>security requirements</w:t>
      </w:r>
    </w:p>
    <w:p w14:paraId="1F44F970" w14:textId="77777777" w:rsidR="00337483" w:rsidRDefault="00337483" w:rsidP="00337483">
      <w:pPr>
        <w:pStyle w:val="ListParagraph"/>
        <w:numPr>
          <w:ilvl w:val="0"/>
          <w:numId w:val="10"/>
        </w:numPr>
      </w:pPr>
      <w:r>
        <w:t xml:space="preserve">Users must not try to connect personal devices to the internal wired network in the </w:t>
      </w:r>
      <w:proofErr w:type="spellStart"/>
      <w:r>
        <w:t>IHub</w:t>
      </w:r>
      <w:proofErr w:type="spellEnd"/>
      <w:r>
        <w:t xml:space="preserve">.  This network is managed by West Lothian Council and only approved devices </w:t>
      </w:r>
      <w:proofErr w:type="gramStart"/>
      <w:r>
        <w:t>are allowed to</w:t>
      </w:r>
      <w:proofErr w:type="gramEnd"/>
      <w:r>
        <w:t xml:space="preserve"> connect.  These devices will be subject to compliance rules such as encryption, password, key lock, etc. and enforced by West Lothian Council IT department using centralised control software</w:t>
      </w:r>
    </w:p>
    <w:p w14:paraId="3421F330" w14:textId="77777777" w:rsidR="00337483" w:rsidRDefault="00337483" w:rsidP="00337483">
      <w:pPr>
        <w:pStyle w:val="ListParagraph"/>
        <w:numPr>
          <w:ilvl w:val="0"/>
          <w:numId w:val="10"/>
        </w:numPr>
      </w:pPr>
      <w:r>
        <w:t>Users must not try to connect personal devices to the West Lothian Council network remotely (from home, customer premises etc.).  Only approved devices supplied by the Improvement Service can be used in this situation</w:t>
      </w:r>
    </w:p>
    <w:p w14:paraId="5EB511DD" w14:textId="623EA8D3" w:rsidR="00266FEC" w:rsidRDefault="00266FEC" w:rsidP="00E54110">
      <w:pPr>
        <w:pStyle w:val="ListParagraph"/>
        <w:numPr>
          <w:ilvl w:val="0"/>
          <w:numId w:val="10"/>
        </w:numPr>
      </w:pPr>
      <w:r>
        <w:t>All devices supplied must be returned to the Improvement Service when they are no longer required or prior to the recipient leaving the Improvement Service.</w:t>
      </w:r>
    </w:p>
    <w:p w14:paraId="18F3B44F" w14:textId="5FE1BDD7" w:rsidR="00793470" w:rsidRDefault="00793470" w:rsidP="00793470">
      <w:r w:rsidRPr="00793470">
        <w:rPr>
          <w:highlight w:val="yellow"/>
        </w:rPr>
        <w:t>END</w:t>
      </w:r>
    </w:p>
    <w:p w14:paraId="548F973D" w14:textId="36FCBD37" w:rsidR="003B435D" w:rsidRDefault="009D2684" w:rsidP="009D2684">
      <w:pPr>
        <w:pStyle w:val="Heading1"/>
      </w:pPr>
      <w:r>
        <w:t>H</w:t>
      </w:r>
      <w:r w:rsidR="003B435D">
        <w:t xml:space="preserve">uman Resources Security </w:t>
      </w:r>
    </w:p>
    <w:p w14:paraId="23A9D51B" w14:textId="33E37C3D" w:rsidR="003B435D" w:rsidRDefault="003B435D" w:rsidP="003B435D">
      <w:r>
        <w:t xml:space="preserve">Security policies will be communicated to all employees, contractors and third parties to ensure that they understand their responsibilities.  </w:t>
      </w:r>
    </w:p>
    <w:p w14:paraId="392210D2" w14:textId="6AEC07E7" w:rsidR="00E514B8" w:rsidRDefault="00E514B8" w:rsidP="003B435D"/>
    <w:p w14:paraId="7BF80AEC" w14:textId="0835FBB8" w:rsidR="00E514B8" w:rsidRDefault="00E514B8" w:rsidP="003B435D">
      <w:r>
        <w:t>Security awareness, education and training will be provided for all employees.</w:t>
      </w:r>
    </w:p>
    <w:p w14:paraId="45612D66" w14:textId="77777777" w:rsidR="003B435D" w:rsidRDefault="003B435D" w:rsidP="003B435D">
      <w:r>
        <w:t xml:space="preserve"> </w:t>
      </w:r>
    </w:p>
    <w:p w14:paraId="3C176B8F" w14:textId="5B7C55B1" w:rsidR="003B435D" w:rsidRDefault="003B435D" w:rsidP="003B435D">
      <w:r>
        <w:t xml:space="preserve">Security responsibilities will be included in job descriptions and in terms and conditions of employment. </w:t>
      </w:r>
    </w:p>
    <w:p w14:paraId="4BF05CDD" w14:textId="5F2763E6" w:rsidR="00121BAF" w:rsidRDefault="00121BAF" w:rsidP="003B435D"/>
    <w:p w14:paraId="053051B0" w14:textId="5605B451" w:rsidR="00121BAF" w:rsidRDefault="00121BAF" w:rsidP="003B435D">
      <w:r>
        <w:t xml:space="preserve">Security responsibilities will be reviewed </w:t>
      </w:r>
      <w:r w:rsidR="00E514B8">
        <w:t>periodically and on termination or change of employment responsibilities.</w:t>
      </w:r>
    </w:p>
    <w:p w14:paraId="69862E0E" w14:textId="77777777" w:rsidR="003B435D" w:rsidRDefault="003B435D" w:rsidP="003B435D">
      <w:r>
        <w:t xml:space="preserve"> </w:t>
      </w:r>
    </w:p>
    <w:p w14:paraId="5BA1B882" w14:textId="37C125D2" w:rsidR="003B435D" w:rsidRDefault="003B435D" w:rsidP="003B435D">
      <w:r>
        <w:t xml:space="preserve">Verification checks will be carried out on all new employees, contractors and third parties. </w:t>
      </w:r>
    </w:p>
    <w:p w14:paraId="04DF023D" w14:textId="1A0686B5" w:rsidR="009D2684" w:rsidRDefault="009D2684" w:rsidP="003B435D"/>
    <w:p w14:paraId="076A7E76" w14:textId="7304B86A" w:rsidR="00E514B8" w:rsidRDefault="00E514B8" w:rsidP="003B435D">
      <w:r>
        <w:t xml:space="preserve">Failure to comply with the Information Security Policy, processes and procedures will lead to disciplinary or remedial action.  </w:t>
      </w:r>
    </w:p>
    <w:p w14:paraId="0D913297" w14:textId="0776B7B1" w:rsidR="00121BAF" w:rsidRDefault="00121BAF" w:rsidP="00121BAF">
      <w:pPr>
        <w:pStyle w:val="Heading1"/>
      </w:pPr>
      <w:r>
        <w:t>Asset Management</w:t>
      </w:r>
    </w:p>
    <w:p w14:paraId="71E09F4B" w14:textId="4C7D1892" w:rsidR="00121BAF" w:rsidRDefault="185A73FD" w:rsidP="00121BAF">
      <w:r>
        <w:t xml:space="preserve">All assets (data, information, software, computer and communications equipment, service utilities and people) will be accounted for and have an owner.  </w:t>
      </w:r>
    </w:p>
    <w:p w14:paraId="67B513F2" w14:textId="77777777" w:rsidR="0008424B" w:rsidRDefault="0008424B" w:rsidP="00121BAF"/>
    <w:p w14:paraId="6C01EA37" w14:textId="0DA7CE57" w:rsidR="00121BAF" w:rsidRDefault="0008424B" w:rsidP="00121BAF">
      <w:r>
        <w:t>Asset o</w:t>
      </w:r>
      <w:r w:rsidR="00121BAF">
        <w:t xml:space="preserve">wners will be </w:t>
      </w:r>
      <w:r>
        <w:t>re</w:t>
      </w:r>
      <w:r w:rsidR="00121BAF">
        <w:t xml:space="preserve">sponsible for the maintenance and protection of those assets. </w:t>
      </w:r>
    </w:p>
    <w:p w14:paraId="4D4F1170" w14:textId="6D5CD119" w:rsidR="00E514B8" w:rsidRDefault="00E514B8" w:rsidP="00121BAF"/>
    <w:p w14:paraId="567DF456" w14:textId="77777777" w:rsidR="0008424B" w:rsidRDefault="0008424B" w:rsidP="0008424B">
      <w:r>
        <w:t xml:space="preserve">All assets will be appropriately protected. </w:t>
      </w:r>
    </w:p>
    <w:p w14:paraId="6CA6CFC7" w14:textId="77777777" w:rsidR="0008424B" w:rsidRDefault="0008424B" w:rsidP="00121BAF"/>
    <w:p w14:paraId="535CD8E1" w14:textId="51D17C9F" w:rsidR="0008424B" w:rsidRDefault="0008424B" w:rsidP="00121BAF">
      <w:r>
        <w:t>Information will be classified and protected accordingly.</w:t>
      </w:r>
    </w:p>
    <w:p w14:paraId="264D2DEB" w14:textId="77777777" w:rsidR="0008424B" w:rsidRDefault="0008424B" w:rsidP="00121BAF"/>
    <w:p w14:paraId="7F174C1E" w14:textId="1291AEB1" w:rsidR="00E514B8" w:rsidRDefault="0008424B" w:rsidP="00121BAF">
      <w:r>
        <w:t>All assets will be used for business purposes only.</w:t>
      </w:r>
    </w:p>
    <w:p w14:paraId="1E349687" w14:textId="77777777" w:rsidR="0008424B" w:rsidRDefault="0008424B" w:rsidP="00121BAF"/>
    <w:p w14:paraId="6030C5DF" w14:textId="77777777" w:rsidR="000902BC" w:rsidRDefault="0008424B" w:rsidP="00121BAF">
      <w:r>
        <w:t xml:space="preserve">All </w:t>
      </w:r>
      <w:r w:rsidR="00E514B8">
        <w:t>assets</w:t>
      </w:r>
      <w:r>
        <w:t xml:space="preserve"> will be returned on termination of employment or at the request of the Improvement Service</w:t>
      </w:r>
      <w:r w:rsidR="000902BC">
        <w:t>.</w:t>
      </w:r>
    </w:p>
    <w:p w14:paraId="6078C832" w14:textId="77777777" w:rsidR="000902BC" w:rsidRDefault="000902BC" w:rsidP="00121BAF"/>
    <w:p w14:paraId="646949AF" w14:textId="51008436" w:rsidR="00E514B8" w:rsidRDefault="000902BC" w:rsidP="00121BAF">
      <w:r>
        <w:t xml:space="preserve">Assets that are no longer required or that have reached end of life will be </w:t>
      </w:r>
      <w:r w:rsidR="0008424B">
        <w:t xml:space="preserve">disposed of in line with secure disposal or recycling </w:t>
      </w:r>
      <w:r>
        <w:t>guidelines.</w:t>
      </w:r>
    </w:p>
    <w:p w14:paraId="2455E078" w14:textId="6D504D2B" w:rsidR="00121BAF" w:rsidRDefault="00121BAF" w:rsidP="003B435D"/>
    <w:p w14:paraId="64580D6E" w14:textId="77777777" w:rsidR="00121BAF" w:rsidRDefault="00121BAF" w:rsidP="00121BAF">
      <w:pPr>
        <w:pStyle w:val="Heading1"/>
      </w:pPr>
      <w:r>
        <w:t xml:space="preserve">Access Control </w:t>
      </w:r>
    </w:p>
    <w:p w14:paraId="21081505" w14:textId="77777777" w:rsidR="00121BAF" w:rsidRDefault="00121BAF" w:rsidP="00121BAF">
      <w:r>
        <w:t xml:space="preserve">Access to all information will be controlled. </w:t>
      </w:r>
    </w:p>
    <w:p w14:paraId="4E1B3569" w14:textId="77777777" w:rsidR="00121BAF" w:rsidRDefault="00121BAF" w:rsidP="00121BAF">
      <w:r>
        <w:t xml:space="preserve"> </w:t>
      </w:r>
    </w:p>
    <w:p w14:paraId="04DCD9C3" w14:textId="0E50008A" w:rsidR="00121BAF" w:rsidRDefault="00121BAF" w:rsidP="00121BAF">
      <w:r>
        <w:t>Access to information and information systems will be driven by business requirements. Access will be granted</w:t>
      </w:r>
      <w:r w:rsidR="00B010ED">
        <w:t>,</w:t>
      </w:r>
      <w:r>
        <w:t xml:space="preserve"> or arrangements made for employees, partners and suppliers according to their role, only to a level that will allow them to carry out their duties. </w:t>
      </w:r>
    </w:p>
    <w:p w14:paraId="279AAE6F" w14:textId="77777777" w:rsidR="00121BAF" w:rsidRDefault="00121BAF" w:rsidP="00121BAF">
      <w:r>
        <w:t xml:space="preserve"> </w:t>
      </w:r>
    </w:p>
    <w:p w14:paraId="7422B2AF" w14:textId="77777777" w:rsidR="00121BAF" w:rsidRDefault="00121BAF" w:rsidP="00121BAF">
      <w:r>
        <w:t xml:space="preserve">A formal user registration and de-registration procedure will be implemented for access to all information systems and services.  </w:t>
      </w:r>
    </w:p>
    <w:p w14:paraId="722DE606" w14:textId="51D6F644" w:rsidR="00121BAF" w:rsidRDefault="00121BAF" w:rsidP="00121BAF"/>
    <w:p w14:paraId="3EB270EF" w14:textId="1BDCF9B0" w:rsidR="00E514B8" w:rsidRDefault="00E514B8" w:rsidP="00121BAF">
      <w:r>
        <w:t>User rights and privileges will be monitored and reviewed regularly.</w:t>
      </w:r>
    </w:p>
    <w:p w14:paraId="0763A843" w14:textId="153AC538" w:rsidR="000902BC" w:rsidRDefault="000902BC" w:rsidP="00121BAF"/>
    <w:p w14:paraId="7C1E482B" w14:textId="0E78E172" w:rsidR="00AA3E64" w:rsidRDefault="00AA3E64" w:rsidP="00AA3E64">
      <w:r>
        <w:t>All users must keep their passwords confidential and unique user identities must not be shared.</w:t>
      </w:r>
    </w:p>
    <w:p w14:paraId="30C398A0" w14:textId="77777777" w:rsidR="00AA3E64" w:rsidRDefault="00AA3E64" w:rsidP="00AA3E64"/>
    <w:p w14:paraId="5AC30778" w14:textId="2AF84568" w:rsidR="00AA3E64" w:rsidRDefault="00AA3E64" w:rsidP="00AA3E64">
      <w:r>
        <w:t>Passwords must be changed at regular intervals</w:t>
      </w:r>
      <w:r w:rsidR="00B010ED">
        <w:t>.  T</w:t>
      </w:r>
      <w:r>
        <w:t xml:space="preserve">his will be enforced by the </w:t>
      </w:r>
      <w:r w:rsidR="00F71FDF">
        <w:t xml:space="preserve">relevant </w:t>
      </w:r>
      <w:r>
        <w:t>system.</w:t>
      </w:r>
    </w:p>
    <w:p w14:paraId="07025C2A" w14:textId="77777777" w:rsidR="00AA3E64" w:rsidRDefault="00AA3E64" w:rsidP="00AA3E64"/>
    <w:p w14:paraId="00967B5F" w14:textId="76CC5DE6" w:rsidR="00AA3E64" w:rsidRDefault="00AA3E64" w:rsidP="00AA3E64">
      <w:r>
        <w:t>Passwords must be changed whenever there is an indication of possible system compromise.</w:t>
      </w:r>
    </w:p>
    <w:p w14:paraId="193B39F1" w14:textId="102A8FEC" w:rsidR="00AA3E64" w:rsidRDefault="00AA3E64" w:rsidP="00AA3E64"/>
    <w:p w14:paraId="09F3F1D0" w14:textId="118B748F" w:rsidR="00AA3E64" w:rsidRDefault="00AA3E64" w:rsidP="00AA3E64">
      <w:r>
        <w:t>When a user account is no longer required, e.g. through staff resignation or a change in duties</w:t>
      </w:r>
      <w:r w:rsidR="00B010ED">
        <w:t>,</w:t>
      </w:r>
      <w:r>
        <w:t xml:space="preserve"> the account must be disabled immediately.</w:t>
      </w:r>
    </w:p>
    <w:p w14:paraId="6E906F08" w14:textId="77777777" w:rsidR="00AA3E64" w:rsidRDefault="00AA3E64" w:rsidP="00AA3E64"/>
    <w:p w14:paraId="36008822" w14:textId="3A1A6F2F" w:rsidR="00AA3E64" w:rsidRDefault="00AA3E64" w:rsidP="00AA3E64">
      <w:r>
        <w:t xml:space="preserve">Unused accounts will be </w:t>
      </w:r>
      <w:proofErr w:type="gramStart"/>
      <w:r>
        <w:t>monitored</w:t>
      </w:r>
      <w:proofErr w:type="gramEnd"/>
      <w:r>
        <w:t xml:space="preserve"> and appropriate action taken in line with the procedures for disabling and deleting accounts.</w:t>
      </w:r>
    </w:p>
    <w:p w14:paraId="4D734E80" w14:textId="77777777" w:rsidR="00AA3E64" w:rsidRDefault="00AA3E64" w:rsidP="00AA3E64"/>
    <w:p w14:paraId="4BDFFB25" w14:textId="78ED13B8" w:rsidR="00AA3E64" w:rsidRDefault="00AA3E64" w:rsidP="00AA3E64">
      <w:r>
        <w:t>Removal of accounts must also include the removal of any associated access rights.</w:t>
      </w:r>
    </w:p>
    <w:p w14:paraId="2807A343" w14:textId="5F74C725" w:rsidR="00AA3E64" w:rsidRDefault="00AA3E64" w:rsidP="00AA3E64"/>
    <w:p w14:paraId="3CAD6DBF" w14:textId="729F7D45" w:rsidR="00121BAF" w:rsidRDefault="00121BAF" w:rsidP="00121BAF">
      <w:pPr>
        <w:pStyle w:val="Heading1"/>
      </w:pPr>
      <w:r>
        <w:t>Cryptography</w:t>
      </w:r>
    </w:p>
    <w:p w14:paraId="4E426437" w14:textId="1D46BB0B" w:rsidR="00AA3E64" w:rsidRDefault="00AA3E64" w:rsidP="003B435D">
      <w:r>
        <w:t>D</w:t>
      </w:r>
      <w:r w:rsidRPr="00AA3E64">
        <w:t>igital personal data that cannot be sufficiently secured by physical controls must be encrypted</w:t>
      </w:r>
      <w:r w:rsidR="001E1F75">
        <w:t>, both at rest and in transit.</w:t>
      </w:r>
    </w:p>
    <w:p w14:paraId="4BBCBD5F" w14:textId="77777777" w:rsidR="001E1F75" w:rsidRDefault="001E1F75" w:rsidP="00383E27"/>
    <w:p w14:paraId="2FBD571F" w14:textId="05FCDD12" w:rsidR="00383E27" w:rsidRDefault="00383E27" w:rsidP="00383E27">
      <w:r>
        <w:t>Where data being handled is subject to an agreement with an external organisation specifying the use of encryption, the agreed handling procedures, encryption technologies and standards must be used. A separate Data Sharing Agreement and Information Exchange Protocol may be required.</w:t>
      </w:r>
    </w:p>
    <w:p w14:paraId="0DC409D8" w14:textId="77777777" w:rsidR="00383E27" w:rsidRDefault="00383E27" w:rsidP="00383E27"/>
    <w:p w14:paraId="34BA652F" w14:textId="62235F94" w:rsidR="00383E27" w:rsidRDefault="00383E27" w:rsidP="00383E27">
      <w:r>
        <w:t>Where data is to be encrypted and no overriding requirements (e</w:t>
      </w:r>
      <w:r w:rsidR="00D75190">
        <w:t>.</w:t>
      </w:r>
      <w:r>
        <w:t>g</w:t>
      </w:r>
      <w:r w:rsidR="00D75190">
        <w:t>.</w:t>
      </w:r>
      <w:r>
        <w:t xml:space="preserve"> from an external body) apply, the recommended minimum encryption standards (or better) must be applied.</w:t>
      </w:r>
    </w:p>
    <w:p w14:paraId="6DC87B03" w14:textId="77777777" w:rsidR="00383E27" w:rsidRDefault="00383E27" w:rsidP="00383E27"/>
    <w:p w14:paraId="42F8959D" w14:textId="3870CFB8" w:rsidR="001E1F75" w:rsidRDefault="001E1F75" w:rsidP="001E1F75">
      <w:r>
        <w:t>Encryption keys must be managed in a way that prevents access by an unauthorised person but facilitates access by the Improvement Service when required (e</w:t>
      </w:r>
      <w:r w:rsidR="00D75190">
        <w:t>.</w:t>
      </w:r>
      <w:r>
        <w:t>g</w:t>
      </w:r>
      <w:r w:rsidR="00D75190">
        <w:t>.</w:t>
      </w:r>
      <w:r>
        <w:t xml:space="preserve"> in an emergency or an investigation).</w:t>
      </w:r>
    </w:p>
    <w:p w14:paraId="5590877E" w14:textId="77777777" w:rsidR="001E1F75" w:rsidRDefault="001E1F75" w:rsidP="001E1F75"/>
    <w:p w14:paraId="663042DE" w14:textId="3FE874E0" w:rsidR="003B435D" w:rsidRDefault="003B435D" w:rsidP="009D2684">
      <w:pPr>
        <w:pStyle w:val="Heading1"/>
      </w:pPr>
      <w:r>
        <w:t xml:space="preserve">Physical and Environmental Security  </w:t>
      </w:r>
    </w:p>
    <w:p w14:paraId="64823136" w14:textId="3F9A8304" w:rsidR="003B435D" w:rsidRDefault="003B435D" w:rsidP="003B435D">
      <w:r>
        <w:t xml:space="preserve">Critical or sensitive information processing facilities will be housed in secure areas.  </w:t>
      </w:r>
    </w:p>
    <w:p w14:paraId="71A6DA67" w14:textId="77777777" w:rsidR="003B435D" w:rsidRDefault="003B435D" w:rsidP="003B435D">
      <w:r>
        <w:t xml:space="preserve"> </w:t>
      </w:r>
    </w:p>
    <w:p w14:paraId="3B3FC108" w14:textId="6CF4A3F0" w:rsidR="003B435D" w:rsidRDefault="001E1F75" w:rsidP="003B435D">
      <w:r>
        <w:t>S</w:t>
      </w:r>
      <w:r w:rsidR="003B435D">
        <w:t xml:space="preserve">ecure areas will be protected by defined security perimeters with appropriate security barriers and entry controls. </w:t>
      </w:r>
    </w:p>
    <w:p w14:paraId="17DD1764" w14:textId="77777777" w:rsidR="003B435D" w:rsidRDefault="003B435D" w:rsidP="003B435D">
      <w:r>
        <w:t xml:space="preserve"> </w:t>
      </w:r>
    </w:p>
    <w:p w14:paraId="17D715BF" w14:textId="4BA6959D" w:rsidR="003B435D" w:rsidRDefault="003B435D" w:rsidP="003B435D">
      <w:r>
        <w:t xml:space="preserve">Critical and sensitive information will be physically protected from unauthorised access, damage and interference. </w:t>
      </w:r>
    </w:p>
    <w:p w14:paraId="69ED05FE" w14:textId="7B077A1E" w:rsidR="009D2684" w:rsidRDefault="009D2684" w:rsidP="003B435D"/>
    <w:p w14:paraId="68E4DBE3" w14:textId="39D72752" w:rsidR="00E514B8" w:rsidRDefault="001E1F75" w:rsidP="003B435D">
      <w:r>
        <w:t xml:space="preserve">Sufficient protection against external and environmental threats </w:t>
      </w:r>
      <w:r w:rsidR="00674C9C">
        <w:t>must</w:t>
      </w:r>
      <w:r>
        <w:t xml:space="preserve"> be implemented to ensure the ongoing </w:t>
      </w:r>
      <w:r w:rsidR="00674C9C">
        <w:t>operation of the Improvement Service and its business.</w:t>
      </w:r>
    </w:p>
    <w:p w14:paraId="0E0C5A78" w14:textId="0AF773BB" w:rsidR="00674C9C" w:rsidRDefault="00674C9C" w:rsidP="003B435D"/>
    <w:p w14:paraId="046EE3BD" w14:textId="77777777" w:rsidR="00674C9C" w:rsidRDefault="00674C9C" w:rsidP="00674C9C">
      <w:r>
        <w:t>All users will adhere to a clear screen and clear desk policy.  Workstations will be configured to lock out after a period of inactivity.</w:t>
      </w:r>
    </w:p>
    <w:p w14:paraId="2D238468" w14:textId="77777777" w:rsidR="00674C9C" w:rsidRDefault="00674C9C" w:rsidP="00674C9C"/>
    <w:p w14:paraId="469B4CD8" w14:textId="4D411058" w:rsidR="00674C9C" w:rsidRDefault="00674C9C" w:rsidP="00674C9C">
      <w:r>
        <w:t>All users must ensure that they lock their screens whenever they leave their desks to reduce the risk of unauthorised access</w:t>
      </w:r>
      <w:r w:rsidR="00AD68F2">
        <w:t>.</w:t>
      </w:r>
    </w:p>
    <w:p w14:paraId="4EDFC3BF" w14:textId="77777777" w:rsidR="00674C9C" w:rsidRDefault="00674C9C" w:rsidP="00674C9C"/>
    <w:p w14:paraId="796568F3" w14:textId="541CCBF2" w:rsidR="00674C9C" w:rsidRDefault="00674C9C" w:rsidP="00674C9C">
      <w:r>
        <w:t>All users must ensure that their desks are kept clear of any information or removable storage media in order to reduce the risk of unauthorised access</w:t>
      </w:r>
      <w:r w:rsidR="00AD68F2">
        <w:t>.</w:t>
      </w:r>
    </w:p>
    <w:p w14:paraId="521F8102" w14:textId="2C0CB049" w:rsidR="00674C9C" w:rsidRDefault="00674C9C" w:rsidP="003B435D"/>
    <w:p w14:paraId="1B8FEA2D" w14:textId="46CF0B2D" w:rsidR="007E0F0E" w:rsidRPr="007E0F0E" w:rsidRDefault="007E0F0E" w:rsidP="007E0F0E">
      <w:r w:rsidRPr="007E0F0E">
        <w:t>Visitors must</w:t>
      </w:r>
      <w:r>
        <w:t xml:space="preserve">, </w:t>
      </w:r>
      <w:proofErr w:type="gramStart"/>
      <w:r>
        <w:t>at all times</w:t>
      </w:r>
      <w:proofErr w:type="gramEnd"/>
      <w:r>
        <w:t>,</w:t>
      </w:r>
      <w:r w:rsidRPr="007E0F0E">
        <w:t xml:space="preserve"> openly display visitor badges obtained from reception. A record must be kept of all visitor access.  The record must contain:</w:t>
      </w:r>
    </w:p>
    <w:p w14:paraId="7B1788E0" w14:textId="77777777" w:rsidR="007E0F0E" w:rsidRPr="007E0F0E" w:rsidRDefault="007E0F0E" w:rsidP="007E0F0E"/>
    <w:p w14:paraId="50EAF2FC" w14:textId="77777777" w:rsidR="007E0F0E" w:rsidRPr="007E0F0E" w:rsidRDefault="007E0F0E" w:rsidP="007E0F0E">
      <w:pPr>
        <w:numPr>
          <w:ilvl w:val="0"/>
          <w:numId w:val="9"/>
        </w:numPr>
      </w:pPr>
      <w:r w:rsidRPr="007E0F0E">
        <w:t>the identity of the individual</w:t>
      </w:r>
    </w:p>
    <w:p w14:paraId="60787FE4" w14:textId="77777777" w:rsidR="007E0F0E" w:rsidRPr="007E0F0E" w:rsidRDefault="007E0F0E" w:rsidP="007E0F0E">
      <w:pPr>
        <w:numPr>
          <w:ilvl w:val="0"/>
          <w:numId w:val="9"/>
        </w:numPr>
      </w:pPr>
      <w:r w:rsidRPr="007E0F0E">
        <w:t>the times of entry and departure</w:t>
      </w:r>
    </w:p>
    <w:p w14:paraId="09CF3F93" w14:textId="77777777" w:rsidR="007E0F0E" w:rsidRPr="007E0F0E" w:rsidRDefault="007E0F0E" w:rsidP="007E0F0E"/>
    <w:p w14:paraId="6EC69389" w14:textId="77777777" w:rsidR="007E0F0E" w:rsidRPr="007E0F0E" w:rsidRDefault="007E0F0E" w:rsidP="007E0F0E">
      <w:r w:rsidRPr="007E0F0E">
        <w:t xml:space="preserve">Visitors </w:t>
      </w:r>
      <w:proofErr w:type="gramStart"/>
      <w:r w:rsidRPr="007E0F0E">
        <w:t>must be escorted within the facilities at all times</w:t>
      </w:r>
      <w:proofErr w:type="gramEnd"/>
      <w:r w:rsidRPr="007E0F0E">
        <w:t xml:space="preserve">. </w:t>
      </w:r>
    </w:p>
    <w:p w14:paraId="5316E442" w14:textId="77777777" w:rsidR="007E0F0E" w:rsidRPr="007E0F0E" w:rsidRDefault="007E0F0E" w:rsidP="007E0F0E"/>
    <w:p w14:paraId="7DD3AF44" w14:textId="02886BB6" w:rsidR="007E0F0E" w:rsidRDefault="007E0F0E" w:rsidP="003B435D">
      <w:r w:rsidRPr="007E0F0E">
        <w:t xml:space="preserve">It is the responsibility of every individual to challenge any person not displaying a valid security pass or any unescorted visitor and to report any matter which could undermine the physical security of the </w:t>
      </w:r>
      <w:r>
        <w:t xml:space="preserve">Improvement Service and </w:t>
      </w:r>
      <w:r w:rsidRPr="007E0F0E">
        <w:t xml:space="preserve">its </w:t>
      </w:r>
      <w:r>
        <w:t>busines</w:t>
      </w:r>
      <w:r w:rsidRPr="007E0F0E">
        <w:t>s.</w:t>
      </w:r>
    </w:p>
    <w:p w14:paraId="3169FFA1" w14:textId="76D37EC7" w:rsidR="003B435D" w:rsidRDefault="003B435D" w:rsidP="009D2684">
      <w:pPr>
        <w:pStyle w:val="Heading1"/>
      </w:pPr>
      <w:r>
        <w:t xml:space="preserve">Operations </w:t>
      </w:r>
      <w:r w:rsidR="00121BAF">
        <w:t>and Communications Securi</w:t>
      </w:r>
      <w:r>
        <w:t>t</w:t>
      </w:r>
      <w:r w:rsidR="00121BAF">
        <w:t>y</w:t>
      </w:r>
      <w:r>
        <w:t xml:space="preserve"> </w:t>
      </w:r>
    </w:p>
    <w:p w14:paraId="4A8082A7" w14:textId="2C702F09" w:rsidR="003B435D" w:rsidRDefault="003B435D" w:rsidP="003B435D">
      <w:r>
        <w:t xml:space="preserve">The Improvement Service will operate its information processing facilities securely. </w:t>
      </w:r>
    </w:p>
    <w:p w14:paraId="3F211F3A" w14:textId="77777777" w:rsidR="003B435D" w:rsidRDefault="003B435D" w:rsidP="003B435D">
      <w:r>
        <w:t xml:space="preserve"> </w:t>
      </w:r>
    </w:p>
    <w:p w14:paraId="1EE7C3D2" w14:textId="4698E2C8" w:rsidR="00674C9C" w:rsidRDefault="00674C9C" w:rsidP="003B435D">
      <w:r>
        <w:t>Improvement Service assets will be protected against viruses and malware.</w:t>
      </w:r>
    </w:p>
    <w:p w14:paraId="0C293E73" w14:textId="77777777" w:rsidR="00674C9C" w:rsidRDefault="00674C9C" w:rsidP="003B435D"/>
    <w:p w14:paraId="74B7D6BF" w14:textId="728898D1" w:rsidR="003B435D" w:rsidRDefault="003B435D" w:rsidP="003B435D">
      <w:r>
        <w:t xml:space="preserve">Responsibilities and procedures for the management, operation and ongoing security and availability of all data and information processing facilities will be established. </w:t>
      </w:r>
    </w:p>
    <w:p w14:paraId="7D5B760B" w14:textId="38CC8865" w:rsidR="00674C9C" w:rsidRDefault="00674C9C" w:rsidP="003B435D"/>
    <w:p w14:paraId="1A1D19FF" w14:textId="40BFF793" w:rsidR="00B209C7" w:rsidRDefault="00674C9C" w:rsidP="003B435D">
      <w:r>
        <w:t>Information will be backed up in relation to its business criticality</w:t>
      </w:r>
      <w:r w:rsidR="00B209C7">
        <w:t xml:space="preserve"> and backup and recovery processes will be documented and tested regularly.</w:t>
      </w:r>
    </w:p>
    <w:p w14:paraId="33C12037" w14:textId="12FDB55A" w:rsidR="00674C9C" w:rsidRDefault="00674C9C" w:rsidP="003B435D"/>
    <w:p w14:paraId="2008B635" w14:textId="77777777" w:rsidR="00674C9C" w:rsidRDefault="00674C9C" w:rsidP="003B435D">
      <w:r>
        <w:t xml:space="preserve">Log information will be collected and monitored to help identify issues relating to confidentiality, integrity and availability of information.  </w:t>
      </w:r>
    </w:p>
    <w:p w14:paraId="63D31EF9" w14:textId="77777777" w:rsidR="00674C9C" w:rsidRDefault="00674C9C" w:rsidP="003B435D"/>
    <w:p w14:paraId="2A22E93B" w14:textId="28A92769" w:rsidR="00674C9C" w:rsidRDefault="00674C9C" w:rsidP="003B435D">
      <w:r>
        <w:t>Access to logs will be protected to prevent tampering.</w:t>
      </w:r>
    </w:p>
    <w:p w14:paraId="4BB6660E" w14:textId="77777777" w:rsidR="003B435D" w:rsidRDefault="003B435D" w:rsidP="003B435D">
      <w:r>
        <w:t xml:space="preserve"> </w:t>
      </w:r>
    </w:p>
    <w:p w14:paraId="75FF6E76" w14:textId="7D069ED0" w:rsidR="003B435D" w:rsidRDefault="003B435D" w:rsidP="003B435D">
      <w:r>
        <w:t>Segregation of duties will be implemented, where appropriate, to reduce the risk of negligent or deliberate system misuse</w:t>
      </w:r>
      <w:r w:rsidR="00674C9C">
        <w:t>.</w:t>
      </w:r>
    </w:p>
    <w:p w14:paraId="39A82EEC" w14:textId="02EC8E93" w:rsidR="00674C9C" w:rsidRDefault="00674C9C" w:rsidP="003B435D"/>
    <w:p w14:paraId="48263EAC" w14:textId="74E277C9" w:rsidR="00B209C7" w:rsidRDefault="00B209C7" w:rsidP="003B435D">
      <w:r>
        <w:t>The capacity demands of the Improvement Service will be monitored and future projections made to ensure that there is no detriment to service availability.</w:t>
      </w:r>
    </w:p>
    <w:p w14:paraId="55984C8A" w14:textId="0E00A78A" w:rsidR="003B435D" w:rsidRDefault="003B435D" w:rsidP="009D2684">
      <w:pPr>
        <w:pStyle w:val="Heading1"/>
      </w:pPr>
      <w:r>
        <w:t>Systems Acquisition, Development</w:t>
      </w:r>
      <w:r w:rsidR="00121BAF">
        <w:t xml:space="preserve"> and</w:t>
      </w:r>
      <w:r>
        <w:t xml:space="preserve"> Maintenance </w:t>
      </w:r>
    </w:p>
    <w:p w14:paraId="4EBD23E5" w14:textId="4ED614CB" w:rsidR="003B435D" w:rsidRDefault="003B435D" w:rsidP="003B435D">
      <w:r>
        <w:t xml:space="preserve">Information security requirements will be defined during the development of business requirements for new information systems or changes to existing information systems. </w:t>
      </w:r>
    </w:p>
    <w:p w14:paraId="4916F942" w14:textId="77777777" w:rsidR="003B435D" w:rsidRDefault="003B435D" w:rsidP="003B435D">
      <w:r>
        <w:t xml:space="preserve"> </w:t>
      </w:r>
    </w:p>
    <w:p w14:paraId="1165367E" w14:textId="106BF12F" w:rsidR="003B435D" w:rsidRDefault="003B435D" w:rsidP="003B435D">
      <w:r>
        <w:t xml:space="preserve">Controls to mitigate any risks identified will be implemented where appropriate. </w:t>
      </w:r>
    </w:p>
    <w:p w14:paraId="3FA78A42" w14:textId="2F1A3F40" w:rsidR="009D2684" w:rsidRDefault="009D2684" w:rsidP="003B435D"/>
    <w:p w14:paraId="1CF93D03" w14:textId="29DCD1FE" w:rsidR="00B209C7" w:rsidRDefault="00B209C7" w:rsidP="003B435D">
      <w:r>
        <w:t>Only approved software will be installed and used within the Improvement Service and will be subject to change management processes.</w:t>
      </w:r>
    </w:p>
    <w:p w14:paraId="7FE57268" w14:textId="472A6641" w:rsidR="00121BAF" w:rsidRDefault="00121BAF" w:rsidP="00121BAF">
      <w:pPr>
        <w:pStyle w:val="Heading1"/>
      </w:pPr>
      <w:r>
        <w:t>Supplier Relationships</w:t>
      </w:r>
    </w:p>
    <w:p w14:paraId="40A1A6E0" w14:textId="148BC25C" w:rsidR="00A24A8E" w:rsidRDefault="00A24A8E" w:rsidP="00A24A8E"/>
    <w:p w14:paraId="6D17BD3B" w14:textId="299876DA" w:rsidR="0058733B" w:rsidRDefault="00C92705" w:rsidP="0058733B">
      <w:r>
        <w:t xml:space="preserve">The Improvement Service has </w:t>
      </w:r>
      <w:r w:rsidR="0014318E">
        <w:t>supplier relationships that vary in terms of value and importance, size and scale, where a one-size policy does not fit all.</w:t>
      </w:r>
      <w:r>
        <w:t xml:space="preserve"> </w:t>
      </w:r>
      <w:r w:rsidR="00B92087">
        <w:t xml:space="preserve">  </w:t>
      </w:r>
      <w:r w:rsidR="00C67216">
        <w:t>The Improvement Service will take a</w:t>
      </w:r>
      <w:r w:rsidR="0058733B">
        <w:t xml:space="preserve"> risk-based approach </w:t>
      </w:r>
      <w:r w:rsidR="00C67216">
        <w:t xml:space="preserve">to supplier engagement that considers </w:t>
      </w:r>
      <w:r w:rsidR="0058733B">
        <w:t>the type of supplier, the contract risk and importance</w:t>
      </w:r>
      <w:r w:rsidR="00C67216">
        <w:t>,</w:t>
      </w:r>
      <w:r w:rsidR="0058733B">
        <w:t xml:space="preserve"> along with the projected financial spend to arrive at </w:t>
      </w:r>
      <w:r w:rsidR="00C67216">
        <w:t>an</w:t>
      </w:r>
      <w:r w:rsidR="0058733B">
        <w:t xml:space="preserve"> appropriate risk-based agreement for the organisation.</w:t>
      </w:r>
    </w:p>
    <w:p w14:paraId="42C36B95" w14:textId="77777777" w:rsidR="0058733B" w:rsidRDefault="0058733B" w:rsidP="0058733B"/>
    <w:p w14:paraId="5E030360" w14:textId="7C420E30" w:rsidR="0058733B" w:rsidRDefault="0058733B" w:rsidP="0058733B">
      <w:r>
        <w:t>The Improvement Service will</w:t>
      </w:r>
      <w:r w:rsidR="00DF2EB7">
        <w:t xml:space="preserve"> prefer to </w:t>
      </w:r>
      <w:r>
        <w:t>work with suppliers that already meet the majority of its Information Security needs for the services that they provide and have a good track record of addressing information security concerns responsibly.</w:t>
      </w:r>
    </w:p>
    <w:p w14:paraId="34A56852" w14:textId="77777777" w:rsidR="0058733B" w:rsidRDefault="0058733B" w:rsidP="0058733B"/>
    <w:p w14:paraId="6EA7E907" w14:textId="55999A07" w:rsidR="008E68DE" w:rsidRDefault="00606721" w:rsidP="0014318E">
      <w:r>
        <w:t>The Improvement Service prefers to s</w:t>
      </w:r>
      <w:r w:rsidR="0058733B">
        <w:t xml:space="preserve">elect leading and well-trusted services that are known for their robustness, reliability and security and wherever possible look to suppliers that have already achieved </w:t>
      </w:r>
      <w:r w:rsidR="00AA10ED">
        <w:t>appropriate security accreditation</w:t>
      </w:r>
      <w:r w:rsidR="008C0FF5">
        <w:t>, preferably</w:t>
      </w:r>
      <w:r w:rsidR="00AA10ED">
        <w:t xml:space="preserve"> </w:t>
      </w:r>
      <w:r w:rsidR="0058733B">
        <w:t>ISO 27001 or its equivalent.</w:t>
      </w:r>
      <w:r w:rsidR="00337180">
        <w:t xml:space="preserve"> </w:t>
      </w:r>
    </w:p>
    <w:p w14:paraId="7D027139" w14:textId="77777777" w:rsidR="00C92705" w:rsidRDefault="00C92705" w:rsidP="0014318E"/>
    <w:p w14:paraId="631207E1" w14:textId="59144EF4" w:rsidR="00C92705" w:rsidRDefault="004918AE" w:rsidP="0014318E">
      <w:r w:rsidRPr="004918AE">
        <w:t>The IS Board, or nominated representative</w:t>
      </w:r>
      <w:r>
        <w:t>,</w:t>
      </w:r>
      <w:r w:rsidRPr="004918AE">
        <w:t xml:space="preserve"> </w:t>
      </w:r>
      <w:r>
        <w:t>may</w:t>
      </w:r>
      <w:r w:rsidRPr="004918AE">
        <w:t xml:space="preserve"> make decisions on risk acceptance where a provider does not meet those high levels of security or is unable/unwilling to demonstrate it (e.g. because </w:t>
      </w:r>
      <w:r>
        <w:t>the Improvement Service is a small company</w:t>
      </w:r>
      <w:r w:rsidRPr="004918AE">
        <w:t xml:space="preserve">) but </w:t>
      </w:r>
      <w:r w:rsidR="00D8384A">
        <w:t xml:space="preserve">the Improvement Service still </w:t>
      </w:r>
      <w:r w:rsidRPr="004918AE">
        <w:t>wish</w:t>
      </w:r>
      <w:r w:rsidR="00D8384A">
        <w:t>es</w:t>
      </w:r>
      <w:r w:rsidRPr="004918AE">
        <w:t xml:space="preserve"> to adopt their service</w:t>
      </w:r>
      <w:r w:rsidR="00D8384A">
        <w:t>(s).</w:t>
      </w:r>
    </w:p>
    <w:p w14:paraId="7B25C499" w14:textId="77777777" w:rsidR="009970CE" w:rsidRDefault="009970CE" w:rsidP="0014318E"/>
    <w:p w14:paraId="33416A5B" w14:textId="77299FAB" w:rsidR="00E5204D" w:rsidRDefault="00E5204D" w:rsidP="0014318E">
      <w:r>
        <w:t xml:space="preserve">For critical </w:t>
      </w:r>
      <w:r w:rsidR="007925F8">
        <w:t xml:space="preserve">or strategic </w:t>
      </w:r>
      <w:r>
        <w:t>service</w:t>
      </w:r>
      <w:r w:rsidR="007925F8">
        <w:t xml:space="preserve"> supplier</w:t>
      </w:r>
      <w:r>
        <w:t xml:space="preserve">s, the Improvement Service will </w:t>
      </w:r>
      <w:r w:rsidR="003C370A">
        <w:t xml:space="preserve">ensure that </w:t>
      </w:r>
      <w:r w:rsidR="003C370A" w:rsidRPr="003C370A">
        <w:t xml:space="preserve">information security </w:t>
      </w:r>
      <w:r w:rsidR="003C370A">
        <w:t xml:space="preserve">is included as </w:t>
      </w:r>
      <w:r w:rsidR="003C370A" w:rsidRPr="003C370A">
        <w:t>part of the commercial agreement</w:t>
      </w:r>
      <w:r w:rsidR="0095275D">
        <w:t>.</w:t>
      </w:r>
    </w:p>
    <w:p w14:paraId="134C26DD" w14:textId="6B7BAB99" w:rsidR="007925F8" w:rsidRDefault="007925F8" w:rsidP="0014318E"/>
    <w:p w14:paraId="0272F915" w14:textId="579F05EA" w:rsidR="007925F8" w:rsidRDefault="00BA1B11" w:rsidP="0014318E">
      <w:r>
        <w:t xml:space="preserve">For other suppliers, </w:t>
      </w:r>
      <w:r w:rsidR="008531AB">
        <w:t>the Improvement Service will assess</w:t>
      </w:r>
      <w:r w:rsidRPr="00BA1B11">
        <w:t xml:space="preserve"> that the service and supplier are credible</w:t>
      </w:r>
      <w:r w:rsidR="001D3C97">
        <w:t xml:space="preserve"> and that </w:t>
      </w:r>
      <w:r w:rsidRPr="00BA1B11">
        <w:t xml:space="preserve">information security as well as quality and performance are fit for the price being charged and the </w:t>
      </w:r>
      <w:r w:rsidR="001D3C97">
        <w:t xml:space="preserve">perceived level of </w:t>
      </w:r>
      <w:r w:rsidRPr="00BA1B11">
        <w:t>risk</w:t>
      </w:r>
      <w:r w:rsidR="008739DA">
        <w:t>.</w:t>
      </w:r>
      <w:r w:rsidR="001D3C97">
        <w:t xml:space="preserve"> </w:t>
      </w:r>
      <w:r w:rsidRPr="00BA1B11">
        <w:t xml:space="preserve"> </w:t>
      </w:r>
      <w:r w:rsidR="008739DA">
        <w:t xml:space="preserve">In these cases, the Improvement Service will </w:t>
      </w:r>
      <w:r w:rsidRPr="00BA1B11">
        <w:t xml:space="preserve">generally contract on their standard terms and conditions, tolerating risks of not having rights of audit, vetting staff etc. </w:t>
      </w:r>
      <w:r w:rsidR="008739DA">
        <w:t xml:space="preserve"> </w:t>
      </w:r>
      <w:r w:rsidRPr="00BA1B11">
        <w:t xml:space="preserve">Where appropriate </w:t>
      </w:r>
      <w:r w:rsidR="008739DA">
        <w:t xml:space="preserve">the Improvement Service will </w:t>
      </w:r>
      <w:r w:rsidRPr="00BA1B11">
        <w:t xml:space="preserve">look to ensure that the supplier has achieved </w:t>
      </w:r>
      <w:r w:rsidR="008739DA">
        <w:t xml:space="preserve">Cyber Essentials </w:t>
      </w:r>
      <w:r w:rsidR="005C19EF">
        <w:t>Plus or higher</w:t>
      </w:r>
      <w:r w:rsidRPr="00BA1B11">
        <w:t>.</w:t>
      </w:r>
    </w:p>
    <w:p w14:paraId="5F832FA9" w14:textId="77777777" w:rsidR="00BD7B1D" w:rsidRDefault="00BD7B1D" w:rsidP="0014318E"/>
    <w:p w14:paraId="72E82742" w14:textId="2B27588E" w:rsidR="003B435D" w:rsidRDefault="003B435D" w:rsidP="009D2684">
      <w:pPr>
        <w:pStyle w:val="Heading1"/>
      </w:pPr>
      <w:r>
        <w:t xml:space="preserve">Information Security Incident Management </w:t>
      </w:r>
    </w:p>
    <w:p w14:paraId="4F37049D" w14:textId="1F7CFD67" w:rsidR="003B435D" w:rsidRDefault="009D2684" w:rsidP="003B435D">
      <w:r>
        <w:t>I</w:t>
      </w:r>
      <w:r w:rsidR="003B435D">
        <w:t xml:space="preserve">nformation security incidents and vulnerabilities associated with information systems will be communicated in a timely manner. Appropriate corrective action will be taken. </w:t>
      </w:r>
    </w:p>
    <w:p w14:paraId="0CB8DBC5" w14:textId="77777777" w:rsidR="003B435D" w:rsidRDefault="003B435D" w:rsidP="003B435D">
      <w:r>
        <w:t xml:space="preserve"> </w:t>
      </w:r>
    </w:p>
    <w:p w14:paraId="2AD3DB27" w14:textId="17D647AF" w:rsidR="003B435D" w:rsidRDefault="003B435D" w:rsidP="003B435D">
      <w:r>
        <w:t xml:space="preserve">Formal incident reporting and escalation will be implemented. </w:t>
      </w:r>
    </w:p>
    <w:p w14:paraId="1C8B1EB1" w14:textId="673F949D" w:rsidR="003B435D" w:rsidRDefault="003B435D" w:rsidP="003B435D"/>
    <w:p w14:paraId="4EAD9F85" w14:textId="502F615A" w:rsidR="003B435D" w:rsidRDefault="003B435D" w:rsidP="003B435D">
      <w:r>
        <w:t>All employees, contractors and third</w:t>
      </w:r>
      <w:r w:rsidR="0025654D">
        <w:t>-</w:t>
      </w:r>
      <w:r>
        <w:t xml:space="preserve">party users will be made aware of the procedures for reporting the different types of security incident or vulnerability that might have an impact on the security of the Improvement Service’s assets. </w:t>
      </w:r>
    </w:p>
    <w:p w14:paraId="75CD93C5" w14:textId="77777777" w:rsidR="003B435D" w:rsidRDefault="003B435D" w:rsidP="003B435D">
      <w:r>
        <w:t xml:space="preserve"> </w:t>
      </w:r>
    </w:p>
    <w:p w14:paraId="6AAAE054" w14:textId="31842279" w:rsidR="003B435D" w:rsidRDefault="003B435D" w:rsidP="003B435D">
      <w:r>
        <w:t xml:space="preserve">Information security incidents and vulnerabilities will be reported as quickly as possible to the Security Team. </w:t>
      </w:r>
    </w:p>
    <w:p w14:paraId="352B4DEE" w14:textId="5959725C" w:rsidR="00E262E5" w:rsidRDefault="00E262E5" w:rsidP="003B435D"/>
    <w:p w14:paraId="57851786" w14:textId="3A0135DA" w:rsidR="00E262E5" w:rsidRDefault="00E262E5" w:rsidP="003B435D">
      <w:r>
        <w:t>The Improvement Service must be capable of providing data from IT systems that could be used as evidence for legal purposes.</w:t>
      </w:r>
    </w:p>
    <w:p w14:paraId="386CE8C8" w14:textId="12BF8BBD" w:rsidR="003B435D" w:rsidRDefault="009D2684" w:rsidP="009D2684">
      <w:pPr>
        <w:pStyle w:val="Heading1"/>
      </w:pPr>
      <w:r>
        <w:t>B</w:t>
      </w:r>
      <w:r w:rsidR="003B435D">
        <w:t xml:space="preserve">usiness Continuity Management </w:t>
      </w:r>
    </w:p>
    <w:p w14:paraId="452B1A92" w14:textId="537B1619" w:rsidR="003B435D" w:rsidRDefault="003B435D" w:rsidP="003B435D">
      <w:r>
        <w:t xml:space="preserve">The Improvement Service will put in place arrangements to protect critical business processes from the effects of major failures of information systems or disasters and to ensure their timely resumption. </w:t>
      </w:r>
    </w:p>
    <w:p w14:paraId="21A72BAE" w14:textId="77777777" w:rsidR="003B435D" w:rsidRDefault="003B435D" w:rsidP="003B435D">
      <w:r>
        <w:t xml:space="preserve"> </w:t>
      </w:r>
    </w:p>
    <w:p w14:paraId="2543877B" w14:textId="7BD18F69" w:rsidR="003B435D" w:rsidRDefault="003B435D" w:rsidP="003B435D">
      <w:r>
        <w:t xml:space="preserve">A </w:t>
      </w:r>
      <w:r w:rsidR="00F932BF">
        <w:t>B</w:t>
      </w:r>
      <w:r>
        <w:t xml:space="preserve">usiness </w:t>
      </w:r>
      <w:r w:rsidR="00F932BF">
        <w:t>C</w:t>
      </w:r>
      <w:r>
        <w:t xml:space="preserve">ontinuity management process will be implemented to minimise the impact on the Improvement Service and recover from </w:t>
      </w:r>
      <w:r w:rsidR="00F932BF">
        <w:t xml:space="preserve">the </w:t>
      </w:r>
      <w:r>
        <w:t xml:space="preserve">loss of information assets. Critical business processes will be identified. </w:t>
      </w:r>
    </w:p>
    <w:p w14:paraId="2AB14849" w14:textId="77777777" w:rsidR="003B435D" w:rsidRDefault="003B435D" w:rsidP="003B435D">
      <w:r>
        <w:t xml:space="preserve"> </w:t>
      </w:r>
    </w:p>
    <w:p w14:paraId="36F8D27A" w14:textId="77777777" w:rsidR="00E262E5" w:rsidRDefault="009D2684" w:rsidP="003B435D">
      <w:r>
        <w:t>B</w:t>
      </w:r>
      <w:r w:rsidR="003B435D">
        <w:t>usiness impact analyses will be undertaken of the consequences of disasters, security failures, loss of service and lack of service availability.</w:t>
      </w:r>
    </w:p>
    <w:p w14:paraId="1CA1CBEB" w14:textId="77777777" w:rsidR="00E262E5" w:rsidRDefault="00E262E5" w:rsidP="003B435D"/>
    <w:p w14:paraId="5329CD2D" w14:textId="77777777" w:rsidR="00E262E5" w:rsidRDefault="00E262E5" w:rsidP="003B435D">
      <w:r>
        <w:t>Business Continuity and Disaster Recovery plans must be reviewed and tested regularly.</w:t>
      </w:r>
    </w:p>
    <w:p w14:paraId="74D07166" w14:textId="77777777" w:rsidR="00E262E5" w:rsidRDefault="00E262E5" w:rsidP="003B435D"/>
    <w:p w14:paraId="6E2EE0BF" w14:textId="0CC1B01E" w:rsidR="003B435D" w:rsidRDefault="628097E5" w:rsidP="003B435D">
      <w:r>
        <w:t>Business Continuity and Disaster Recovery plans must take account of any potential overlap in the different business areas of the Improvement Service, as well as partners, suppliers and other stakeholders.</w:t>
      </w:r>
    </w:p>
    <w:p w14:paraId="5DEE131D" w14:textId="00804A6C" w:rsidR="628097E5" w:rsidRDefault="628097E5">
      <w:r>
        <w:br w:type="page"/>
      </w:r>
    </w:p>
    <w:p w14:paraId="1771037D" w14:textId="1AA8FA75" w:rsidR="003B435D" w:rsidRDefault="003B435D" w:rsidP="009D2684">
      <w:pPr>
        <w:pStyle w:val="Heading1"/>
      </w:pPr>
      <w:r>
        <w:t xml:space="preserve">Compliance </w:t>
      </w:r>
    </w:p>
    <w:p w14:paraId="659F8EE0" w14:textId="5E965195" w:rsidR="003B435D" w:rsidRDefault="003B435D" w:rsidP="003B435D">
      <w:r>
        <w:t xml:space="preserve">The Improvement Service will abide by any law, statutory, regulatory or contractual obligations affecting its information systems. </w:t>
      </w:r>
    </w:p>
    <w:p w14:paraId="3539179E" w14:textId="77777777" w:rsidR="003B435D" w:rsidRDefault="003B435D" w:rsidP="003B435D">
      <w:r>
        <w:t xml:space="preserve"> </w:t>
      </w:r>
    </w:p>
    <w:p w14:paraId="6A4BE5FB" w14:textId="0F4912F0" w:rsidR="003B435D" w:rsidRDefault="003B435D" w:rsidP="003B435D">
      <w:r>
        <w:t xml:space="preserve">The design, operation, use and management of information systems will comply with all statutory, regulatory and contractual security requirements. </w:t>
      </w:r>
    </w:p>
    <w:p w14:paraId="016846E0" w14:textId="1873B002" w:rsidR="00A00AAF" w:rsidRDefault="00A00AAF" w:rsidP="003B435D"/>
    <w:p w14:paraId="4FACFB59" w14:textId="7E65B9FB" w:rsidR="00E262E5" w:rsidRDefault="00A00AAF" w:rsidP="003B435D">
      <w:r w:rsidRPr="00A00AAF">
        <w:t xml:space="preserve">The following table identifies legal and regulatory obligations and requirements that may apply to the operation of the information systems in the </w:t>
      </w:r>
      <w:r>
        <w:t xml:space="preserve">Improvement </w:t>
      </w:r>
      <w:r w:rsidRPr="00A00AAF">
        <w:t>Service</w:t>
      </w:r>
    </w:p>
    <w:p w14:paraId="0FC38C2B" w14:textId="77777777" w:rsidR="00E262E5" w:rsidRPr="00E262E5" w:rsidRDefault="00E262E5" w:rsidP="00E262E5">
      <w:r w:rsidRPr="00E262E5">
        <w:t> </w:t>
      </w:r>
    </w:p>
    <w:tbl>
      <w:tblPr>
        <w:tblStyle w:val="GridTable4-Accent5"/>
        <w:tblW w:w="6971" w:type="dxa"/>
        <w:tblInd w:w="1129" w:type="dxa"/>
        <w:tblLook w:val="04A0" w:firstRow="1" w:lastRow="0" w:firstColumn="1" w:lastColumn="0" w:noHBand="0" w:noVBand="1"/>
      </w:tblPr>
      <w:tblGrid>
        <w:gridCol w:w="5216"/>
        <w:gridCol w:w="1755"/>
      </w:tblGrid>
      <w:tr w:rsidR="00E262E5" w:rsidRPr="00E262E5" w14:paraId="26437254" w14:textId="77777777" w:rsidTr="185A73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6" w:type="dxa"/>
            <w:hideMark/>
          </w:tcPr>
          <w:p w14:paraId="5BE4F4E2" w14:textId="77777777" w:rsidR="00E262E5" w:rsidRPr="00E262E5" w:rsidRDefault="00E262E5" w:rsidP="00E262E5">
            <w:r w:rsidRPr="00E262E5">
              <w:t>Legislation </w:t>
            </w:r>
          </w:p>
        </w:tc>
        <w:tc>
          <w:tcPr>
            <w:tcW w:w="1755" w:type="dxa"/>
            <w:hideMark/>
          </w:tcPr>
          <w:p w14:paraId="799362D5" w14:textId="77777777" w:rsidR="00E262E5" w:rsidRPr="00E262E5" w:rsidRDefault="00E262E5" w:rsidP="00E262E5">
            <w:pPr>
              <w:cnfStyle w:val="100000000000" w:firstRow="1" w:lastRow="0" w:firstColumn="0" w:lastColumn="0" w:oddVBand="0" w:evenVBand="0" w:oddHBand="0" w:evenHBand="0" w:firstRowFirstColumn="0" w:firstRowLastColumn="0" w:lastRowFirstColumn="0" w:lastRowLastColumn="0"/>
            </w:pPr>
            <w:r w:rsidRPr="00E262E5">
              <w:t>Date </w:t>
            </w:r>
          </w:p>
        </w:tc>
      </w:tr>
      <w:tr w:rsidR="00E262E5" w:rsidRPr="00E262E5" w14:paraId="789A8F2D" w14:textId="77777777" w:rsidTr="185A73F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216" w:type="dxa"/>
            <w:hideMark/>
          </w:tcPr>
          <w:p w14:paraId="0485B831" w14:textId="77777777" w:rsidR="00E262E5" w:rsidRPr="00E262E5" w:rsidRDefault="00E262E5" w:rsidP="00E262E5">
            <w:r w:rsidRPr="00E262E5">
              <w:t>Convention on Cybercrime </w:t>
            </w:r>
          </w:p>
        </w:tc>
        <w:tc>
          <w:tcPr>
            <w:tcW w:w="1755" w:type="dxa"/>
            <w:hideMark/>
          </w:tcPr>
          <w:p w14:paraId="18F7E1B5" w14:textId="77777777" w:rsidR="00E262E5" w:rsidRPr="00E262E5" w:rsidRDefault="00E262E5" w:rsidP="00E262E5">
            <w:pPr>
              <w:cnfStyle w:val="000000100000" w:firstRow="0" w:lastRow="0" w:firstColumn="0" w:lastColumn="0" w:oddVBand="0" w:evenVBand="0" w:oddHBand="1" w:evenHBand="0" w:firstRowFirstColumn="0" w:firstRowLastColumn="0" w:lastRowFirstColumn="0" w:lastRowLastColumn="0"/>
            </w:pPr>
            <w:r w:rsidRPr="00E262E5">
              <w:t>2001 </w:t>
            </w:r>
          </w:p>
        </w:tc>
      </w:tr>
      <w:tr w:rsidR="00E262E5" w:rsidRPr="00E262E5" w14:paraId="6854C1E9" w14:textId="77777777" w:rsidTr="185A73FD">
        <w:trPr>
          <w:trHeight w:val="270"/>
        </w:trPr>
        <w:tc>
          <w:tcPr>
            <w:cnfStyle w:val="001000000000" w:firstRow="0" w:lastRow="0" w:firstColumn="1" w:lastColumn="0" w:oddVBand="0" w:evenVBand="0" w:oddHBand="0" w:evenHBand="0" w:firstRowFirstColumn="0" w:firstRowLastColumn="0" w:lastRowFirstColumn="0" w:lastRowLastColumn="0"/>
            <w:tcW w:w="5216" w:type="dxa"/>
            <w:hideMark/>
          </w:tcPr>
          <w:p w14:paraId="5C73BAEA" w14:textId="77777777" w:rsidR="00E262E5" w:rsidRPr="00E262E5" w:rsidRDefault="00E262E5" w:rsidP="00E262E5">
            <w:r w:rsidRPr="00E262E5">
              <w:t>Official Secrets Act  </w:t>
            </w:r>
          </w:p>
        </w:tc>
        <w:tc>
          <w:tcPr>
            <w:tcW w:w="1755" w:type="dxa"/>
            <w:hideMark/>
          </w:tcPr>
          <w:p w14:paraId="5ED68FBA" w14:textId="77777777" w:rsidR="00E262E5" w:rsidRPr="00E262E5" w:rsidRDefault="00E262E5" w:rsidP="00E262E5">
            <w:pPr>
              <w:cnfStyle w:val="000000000000" w:firstRow="0" w:lastRow="0" w:firstColumn="0" w:lastColumn="0" w:oddVBand="0" w:evenVBand="0" w:oddHBand="0" w:evenHBand="0" w:firstRowFirstColumn="0" w:firstRowLastColumn="0" w:lastRowFirstColumn="0" w:lastRowLastColumn="0"/>
            </w:pPr>
            <w:r w:rsidRPr="00E262E5">
              <w:t>1989 </w:t>
            </w:r>
          </w:p>
        </w:tc>
      </w:tr>
      <w:tr w:rsidR="00E262E5" w:rsidRPr="00E262E5" w14:paraId="28103E19" w14:textId="77777777" w:rsidTr="185A73F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216" w:type="dxa"/>
          </w:tcPr>
          <w:p w14:paraId="58B6BC15" w14:textId="79ED096B" w:rsidR="00E262E5" w:rsidRPr="00E262E5" w:rsidRDefault="00E262E5" w:rsidP="00E262E5">
            <w:r w:rsidRPr="00E262E5">
              <w:t>The General Data Protection Regulation 2016/679</w:t>
            </w:r>
          </w:p>
        </w:tc>
        <w:tc>
          <w:tcPr>
            <w:tcW w:w="1755" w:type="dxa"/>
          </w:tcPr>
          <w:p w14:paraId="755A6637" w14:textId="28A5C50E" w:rsidR="00E262E5" w:rsidRPr="00E262E5" w:rsidRDefault="00687DFD" w:rsidP="00E262E5">
            <w:pPr>
              <w:cnfStyle w:val="000000100000" w:firstRow="0" w:lastRow="0" w:firstColumn="0" w:lastColumn="0" w:oddVBand="0" w:evenVBand="0" w:oddHBand="1" w:evenHBand="0" w:firstRowFirstColumn="0" w:firstRowLastColumn="0" w:lastRowFirstColumn="0" w:lastRowLastColumn="0"/>
            </w:pPr>
            <w:r>
              <w:t>2018</w:t>
            </w:r>
          </w:p>
        </w:tc>
      </w:tr>
      <w:tr w:rsidR="00E262E5" w:rsidRPr="00E262E5" w14:paraId="3F9F8BD8" w14:textId="77777777" w:rsidTr="185A73FD">
        <w:trPr>
          <w:trHeight w:val="270"/>
        </w:trPr>
        <w:tc>
          <w:tcPr>
            <w:cnfStyle w:val="001000000000" w:firstRow="0" w:lastRow="0" w:firstColumn="1" w:lastColumn="0" w:oddVBand="0" w:evenVBand="0" w:oddHBand="0" w:evenHBand="0" w:firstRowFirstColumn="0" w:firstRowLastColumn="0" w:lastRowFirstColumn="0" w:lastRowLastColumn="0"/>
            <w:tcW w:w="5216" w:type="dxa"/>
            <w:hideMark/>
          </w:tcPr>
          <w:p w14:paraId="16A004B4" w14:textId="0ED790E7" w:rsidR="00E262E5" w:rsidRPr="00E262E5" w:rsidRDefault="00E262E5" w:rsidP="00E262E5">
            <w:r w:rsidRPr="00E262E5">
              <w:t>Data Protection Act </w:t>
            </w:r>
          </w:p>
        </w:tc>
        <w:tc>
          <w:tcPr>
            <w:tcW w:w="1755" w:type="dxa"/>
            <w:hideMark/>
          </w:tcPr>
          <w:p w14:paraId="13E126F0" w14:textId="50582909" w:rsidR="00E262E5" w:rsidRPr="00E262E5" w:rsidRDefault="00E262E5" w:rsidP="00E262E5">
            <w:pPr>
              <w:cnfStyle w:val="000000000000" w:firstRow="0" w:lastRow="0" w:firstColumn="0" w:lastColumn="0" w:oddVBand="0" w:evenVBand="0" w:oddHBand="0" w:evenHBand="0" w:firstRowFirstColumn="0" w:firstRowLastColumn="0" w:lastRowFirstColumn="0" w:lastRowLastColumn="0"/>
            </w:pPr>
            <w:r>
              <w:t>2018</w:t>
            </w:r>
          </w:p>
        </w:tc>
      </w:tr>
      <w:tr w:rsidR="00E262E5" w:rsidRPr="00E262E5" w14:paraId="62FD9AD4" w14:textId="77777777" w:rsidTr="185A73F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216" w:type="dxa"/>
            <w:hideMark/>
          </w:tcPr>
          <w:p w14:paraId="66C4C252" w14:textId="77777777" w:rsidR="00E262E5" w:rsidRPr="00E262E5" w:rsidRDefault="00E262E5" w:rsidP="00E262E5">
            <w:r w:rsidRPr="00E262E5">
              <w:t>Public Records Act </w:t>
            </w:r>
          </w:p>
        </w:tc>
        <w:tc>
          <w:tcPr>
            <w:tcW w:w="1755" w:type="dxa"/>
            <w:hideMark/>
          </w:tcPr>
          <w:p w14:paraId="255FB05D" w14:textId="77777777" w:rsidR="00E262E5" w:rsidRPr="00E262E5" w:rsidRDefault="00E262E5" w:rsidP="00E262E5">
            <w:pPr>
              <w:cnfStyle w:val="000000100000" w:firstRow="0" w:lastRow="0" w:firstColumn="0" w:lastColumn="0" w:oddVBand="0" w:evenVBand="0" w:oddHBand="1" w:evenHBand="0" w:firstRowFirstColumn="0" w:firstRowLastColumn="0" w:lastRowFirstColumn="0" w:lastRowLastColumn="0"/>
            </w:pPr>
            <w:r w:rsidRPr="00E262E5">
              <w:t>1958 / 1967 </w:t>
            </w:r>
          </w:p>
        </w:tc>
      </w:tr>
      <w:tr w:rsidR="00E262E5" w:rsidRPr="00E262E5" w14:paraId="31821864" w14:textId="77777777" w:rsidTr="185A73FD">
        <w:trPr>
          <w:trHeight w:val="270"/>
        </w:trPr>
        <w:tc>
          <w:tcPr>
            <w:cnfStyle w:val="001000000000" w:firstRow="0" w:lastRow="0" w:firstColumn="1" w:lastColumn="0" w:oddVBand="0" w:evenVBand="0" w:oddHBand="0" w:evenHBand="0" w:firstRowFirstColumn="0" w:firstRowLastColumn="0" w:lastRowFirstColumn="0" w:lastRowLastColumn="0"/>
            <w:tcW w:w="5216" w:type="dxa"/>
            <w:hideMark/>
          </w:tcPr>
          <w:p w14:paraId="362995F3" w14:textId="77777777" w:rsidR="00E262E5" w:rsidRPr="00E262E5" w:rsidRDefault="00E262E5" w:rsidP="00E262E5">
            <w:r w:rsidRPr="00E262E5">
              <w:t>Freedom of Information Act </w:t>
            </w:r>
          </w:p>
        </w:tc>
        <w:tc>
          <w:tcPr>
            <w:tcW w:w="1755" w:type="dxa"/>
            <w:hideMark/>
          </w:tcPr>
          <w:p w14:paraId="746A6A6F" w14:textId="77777777" w:rsidR="00E262E5" w:rsidRPr="00E262E5" w:rsidRDefault="00E262E5" w:rsidP="00E262E5">
            <w:pPr>
              <w:cnfStyle w:val="000000000000" w:firstRow="0" w:lastRow="0" w:firstColumn="0" w:lastColumn="0" w:oddVBand="0" w:evenVBand="0" w:oddHBand="0" w:evenHBand="0" w:firstRowFirstColumn="0" w:firstRowLastColumn="0" w:lastRowFirstColumn="0" w:lastRowLastColumn="0"/>
            </w:pPr>
            <w:r w:rsidRPr="00E262E5">
              <w:t>2000 </w:t>
            </w:r>
          </w:p>
        </w:tc>
      </w:tr>
      <w:tr w:rsidR="00E262E5" w:rsidRPr="00E262E5" w14:paraId="41821348" w14:textId="77777777" w:rsidTr="185A73F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216" w:type="dxa"/>
            <w:hideMark/>
          </w:tcPr>
          <w:p w14:paraId="66EE75BD" w14:textId="77777777" w:rsidR="00E262E5" w:rsidRPr="00E262E5" w:rsidRDefault="00E262E5" w:rsidP="00E262E5">
            <w:r w:rsidRPr="00E262E5">
              <w:t>The Human Rights Act </w:t>
            </w:r>
          </w:p>
        </w:tc>
        <w:tc>
          <w:tcPr>
            <w:tcW w:w="1755" w:type="dxa"/>
            <w:hideMark/>
          </w:tcPr>
          <w:p w14:paraId="6527C374" w14:textId="77777777" w:rsidR="00E262E5" w:rsidRPr="00E262E5" w:rsidRDefault="00E262E5" w:rsidP="00E262E5">
            <w:pPr>
              <w:cnfStyle w:val="000000100000" w:firstRow="0" w:lastRow="0" w:firstColumn="0" w:lastColumn="0" w:oddVBand="0" w:evenVBand="0" w:oddHBand="1" w:evenHBand="0" w:firstRowFirstColumn="0" w:firstRowLastColumn="0" w:lastRowFirstColumn="0" w:lastRowLastColumn="0"/>
            </w:pPr>
            <w:r w:rsidRPr="00E262E5">
              <w:t>1998 </w:t>
            </w:r>
          </w:p>
        </w:tc>
      </w:tr>
      <w:tr w:rsidR="00E262E5" w:rsidRPr="00E262E5" w14:paraId="329DF351" w14:textId="77777777" w:rsidTr="185A73FD">
        <w:trPr>
          <w:trHeight w:val="270"/>
        </w:trPr>
        <w:tc>
          <w:tcPr>
            <w:cnfStyle w:val="001000000000" w:firstRow="0" w:lastRow="0" w:firstColumn="1" w:lastColumn="0" w:oddVBand="0" w:evenVBand="0" w:oddHBand="0" w:evenHBand="0" w:firstRowFirstColumn="0" w:firstRowLastColumn="0" w:lastRowFirstColumn="0" w:lastRowLastColumn="0"/>
            <w:tcW w:w="5216" w:type="dxa"/>
            <w:hideMark/>
          </w:tcPr>
          <w:p w14:paraId="362A7857" w14:textId="77777777" w:rsidR="00E262E5" w:rsidRPr="00E262E5" w:rsidRDefault="00E262E5" w:rsidP="00E262E5">
            <w:r w:rsidRPr="00E262E5">
              <w:t>The Computer Misuse Act </w:t>
            </w:r>
          </w:p>
        </w:tc>
        <w:tc>
          <w:tcPr>
            <w:tcW w:w="1755" w:type="dxa"/>
            <w:hideMark/>
          </w:tcPr>
          <w:p w14:paraId="16576A83" w14:textId="77777777" w:rsidR="00E262E5" w:rsidRPr="00E262E5" w:rsidRDefault="00E262E5" w:rsidP="00E262E5">
            <w:pPr>
              <w:cnfStyle w:val="000000000000" w:firstRow="0" w:lastRow="0" w:firstColumn="0" w:lastColumn="0" w:oddVBand="0" w:evenVBand="0" w:oddHBand="0" w:evenHBand="0" w:firstRowFirstColumn="0" w:firstRowLastColumn="0" w:lastRowFirstColumn="0" w:lastRowLastColumn="0"/>
            </w:pPr>
            <w:r w:rsidRPr="00E262E5">
              <w:t>1990 </w:t>
            </w:r>
          </w:p>
        </w:tc>
      </w:tr>
      <w:tr w:rsidR="00E262E5" w:rsidRPr="00E262E5" w14:paraId="0DACD387" w14:textId="77777777" w:rsidTr="185A73F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216" w:type="dxa"/>
            <w:hideMark/>
          </w:tcPr>
          <w:p w14:paraId="708C2817" w14:textId="77777777" w:rsidR="00E262E5" w:rsidRPr="00E262E5" w:rsidRDefault="00E262E5" w:rsidP="00E262E5">
            <w:r w:rsidRPr="00E262E5">
              <w:t>Copyright (Computer Programs) Regulations </w:t>
            </w:r>
          </w:p>
        </w:tc>
        <w:tc>
          <w:tcPr>
            <w:tcW w:w="1755" w:type="dxa"/>
            <w:hideMark/>
          </w:tcPr>
          <w:p w14:paraId="4BEAE700" w14:textId="77777777" w:rsidR="00E262E5" w:rsidRPr="00E262E5" w:rsidRDefault="00E262E5" w:rsidP="00E262E5">
            <w:pPr>
              <w:cnfStyle w:val="000000100000" w:firstRow="0" w:lastRow="0" w:firstColumn="0" w:lastColumn="0" w:oddVBand="0" w:evenVBand="0" w:oddHBand="1" w:evenHBand="0" w:firstRowFirstColumn="0" w:firstRowLastColumn="0" w:lastRowFirstColumn="0" w:lastRowLastColumn="0"/>
            </w:pPr>
            <w:r w:rsidRPr="00E262E5">
              <w:t>1992 </w:t>
            </w:r>
          </w:p>
        </w:tc>
      </w:tr>
      <w:tr w:rsidR="00E262E5" w:rsidRPr="00E262E5" w14:paraId="6BF7738A" w14:textId="77777777" w:rsidTr="185A73FD">
        <w:trPr>
          <w:trHeight w:val="270"/>
        </w:trPr>
        <w:tc>
          <w:tcPr>
            <w:cnfStyle w:val="001000000000" w:firstRow="0" w:lastRow="0" w:firstColumn="1" w:lastColumn="0" w:oddVBand="0" w:evenVBand="0" w:oddHBand="0" w:evenHBand="0" w:firstRowFirstColumn="0" w:firstRowLastColumn="0" w:lastRowFirstColumn="0" w:lastRowLastColumn="0"/>
            <w:tcW w:w="5216" w:type="dxa"/>
            <w:hideMark/>
          </w:tcPr>
          <w:p w14:paraId="3A3BA46E" w14:textId="77777777" w:rsidR="00E262E5" w:rsidRPr="00E262E5" w:rsidRDefault="00E262E5" w:rsidP="00E262E5">
            <w:r w:rsidRPr="00E262E5">
              <w:t>Civil Evidence Act 1968 and the Police and Criminal Evidence Act </w:t>
            </w:r>
          </w:p>
        </w:tc>
        <w:tc>
          <w:tcPr>
            <w:tcW w:w="1755" w:type="dxa"/>
            <w:hideMark/>
          </w:tcPr>
          <w:p w14:paraId="1D1FE741" w14:textId="77777777" w:rsidR="00E262E5" w:rsidRPr="00E262E5" w:rsidRDefault="00E262E5" w:rsidP="00E262E5">
            <w:pPr>
              <w:cnfStyle w:val="000000000000" w:firstRow="0" w:lastRow="0" w:firstColumn="0" w:lastColumn="0" w:oddVBand="0" w:evenVBand="0" w:oddHBand="0" w:evenHBand="0" w:firstRowFirstColumn="0" w:firstRowLastColumn="0" w:lastRowFirstColumn="0" w:lastRowLastColumn="0"/>
            </w:pPr>
            <w:r w:rsidRPr="00E262E5">
              <w:t>1968 </w:t>
            </w:r>
          </w:p>
        </w:tc>
      </w:tr>
      <w:tr w:rsidR="00E262E5" w:rsidRPr="00E262E5" w14:paraId="3539EF63" w14:textId="77777777" w:rsidTr="185A73F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216" w:type="dxa"/>
            <w:hideMark/>
          </w:tcPr>
          <w:p w14:paraId="0F18678D" w14:textId="77777777" w:rsidR="00E262E5" w:rsidRPr="00E262E5" w:rsidRDefault="00E262E5" w:rsidP="00E262E5">
            <w:r w:rsidRPr="00E262E5">
              <w:t>The Communications Act </w:t>
            </w:r>
          </w:p>
        </w:tc>
        <w:tc>
          <w:tcPr>
            <w:tcW w:w="1755" w:type="dxa"/>
            <w:hideMark/>
          </w:tcPr>
          <w:p w14:paraId="36494DC9" w14:textId="77777777" w:rsidR="00E262E5" w:rsidRPr="00E262E5" w:rsidRDefault="00E262E5" w:rsidP="00E262E5">
            <w:pPr>
              <w:cnfStyle w:val="000000100000" w:firstRow="0" w:lastRow="0" w:firstColumn="0" w:lastColumn="0" w:oddVBand="0" w:evenVBand="0" w:oddHBand="1" w:evenHBand="0" w:firstRowFirstColumn="0" w:firstRowLastColumn="0" w:lastRowFirstColumn="0" w:lastRowLastColumn="0"/>
            </w:pPr>
            <w:r w:rsidRPr="00E262E5">
              <w:t>2003 </w:t>
            </w:r>
          </w:p>
        </w:tc>
      </w:tr>
      <w:tr w:rsidR="00E262E5" w:rsidRPr="00E262E5" w14:paraId="60C07E34" w14:textId="77777777" w:rsidTr="185A73FD">
        <w:trPr>
          <w:trHeight w:val="270"/>
        </w:trPr>
        <w:tc>
          <w:tcPr>
            <w:cnfStyle w:val="001000000000" w:firstRow="0" w:lastRow="0" w:firstColumn="1" w:lastColumn="0" w:oddVBand="0" w:evenVBand="0" w:oddHBand="0" w:evenHBand="0" w:firstRowFirstColumn="0" w:firstRowLastColumn="0" w:lastRowFirstColumn="0" w:lastRowLastColumn="0"/>
            <w:tcW w:w="5216" w:type="dxa"/>
            <w:hideMark/>
          </w:tcPr>
          <w:p w14:paraId="0AA17ADD" w14:textId="77777777" w:rsidR="00E262E5" w:rsidRPr="00E262E5" w:rsidRDefault="00E262E5" w:rsidP="00E262E5">
            <w:r w:rsidRPr="00E262E5">
              <w:t>The Regulation of Investigatory Powers Act (RIPA) </w:t>
            </w:r>
          </w:p>
        </w:tc>
        <w:tc>
          <w:tcPr>
            <w:tcW w:w="1755" w:type="dxa"/>
            <w:hideMark/>
          </w:tcPr>
          <w:p w14:paraId="6FF33837" w14:textId="77777777" w:rsidR="00E262E5" w:rsidRPr="00E262E5" w:rsidRDefault="00E262E5" w:rsidP="00E262E5">
            <w:pPr>
              <w:cnfStyle w:val="000000000000" w:firstRow="0" w:lastRow="0" w:firstColumn="0" w:lastColumn="0" w:oddVBand="0" w:evenVBand="0" w:oddHBand="0" w:evenHBand="0" w:firstRowFirstColumn="0" w:firstRowLastColumn="0" w:lastRowFirstColumn="0" w:lastRowLastColumn="0"/>
            </w:pPr>
            <w:r w:rsidRPr="00E262E5">
              <w:t>2000 </w:t>
            </w:r>
          </w:p>
        </w:tc>
      </w:tr>
      <w:tr w:rsidR="00E262E5" w:rsidRPr="00E262E5" w14:paraId="7AE40B85" w14:textId="77777777" w:rsidTr="185A73F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216" w:type="dxa"/>
            <w:hideMark/>
          </w:tcPr>
          <w:p w14:paraId="53B68434" w14:textId="77777777" w:rsidR="00E262E5" w:rsidRPr="00E262E5" w:rsidRDefault="00E262E5" w:rsidP="00E262E5">
            <w:r w:rsidRPr="00E262E5">
              <w:t>The Telecommunications (Lawful Business Practice) (Interception of Communications) Regulations </w:t>
            </w:r>
          </w:p>
        </w:tc>
        <w:tc>
          <w:tcPr>
            <w:tcW w:w="1755" w:type="dxa"/>
            <w:hideMark/>
          </w:tcPr>
          <w:p w14:paraId="1BFAADA3" w14:textId="77777777" w:rsidR="00E262E5" w:rsidRPr="00E262E5" w:rsidRDefault="00E262E5" w:rsidP="00E262E5">
            <w:pPr>
              <w:cnfStyle w:val="000000100000" w:firstRow="0" w:lastRow="0" w:firstColumn="0" w:lastColumn="0" w:oddVBand="0" w:evenVBand="0" w:oddHBand="1" w:evenHBand="0" w:firstRowFirstColumn="0" w:firstRowLastColumn="0" w:lastRowFirstColumn="0" w:lastRowLastColumn="0"/>
            </w:pPr>
            <w:r w:rsidRPr="00E262E5">
              <w:t>2000 </w:t>
            </w:r>
          </w:p>
        </w:tc>
      </w:tr>
      <w:tr w:rsidR="00E262E5" w:rsidRPr="00E262E5" w14:paraId="0188F452" w14:textId="77777777" w:rsidTr="185A73FD">
        <w:trPr>
          <w:trHeight w:val="270"/>
        </w:trPr>
        <w:tc>
          <w:tcPr>
            <w:cnfStyle w:val="001000000000" w:firstRow="0" w:lastRow="0" w:firstColumn="1" w:lastColumn="0" w:oddVBand="0" w:evenVBand="0" w:oddHBand="0" w:evenHBand="0" w:firstRowFirstColumn="0" w:firstRowLastColumn="0" w:lastRowFirstColumn="0" w:lastRowLastColumn="0"/>
            <w:tcW w:w="5216" w:type="dxa"/>
            <w:hideMark/>
          </w:tcPr>
          <w:p w14:paraId="199AEE32" w14:textId="77777777" w:rsidR="00E262E5" w:rsidRPr="00E262E5" w:rsidRDefault="00E262E5" w:rsidP="00E262E5">
            <w:r w:rsidRPr="00E262E5">
              <w:t>Wireless Telegraphy Act </w:t>
            </w:r>
          </w:p>
        </w:tc>
        <w:tc>
          <w:tcPr>
            <w:tcW w:w="1755" w:type="dxa"/>
            <w:hideMark/>
          </w:tcPr>
          <w:p w14:paraId="67B0B7D2" w14:textId="77777777" w:rsidR="00E262E5" w:rsidRPr="00E262E5" w:rsidRDefault="00E262E5" w:rsidP="00E262E5">
            <w:pPr>
              <w:cnfStyle w:val="000000000000" w:firstRow="0" w:lastRow="0" w:firstColumn="0" w:lastColumn="0" w:oddVBand="0" w:evenVBand="0" w:oddHBand="0" w:evenHBand="0" w:firstRowFirstColumn="0" w:firstRowLastColumn="0" w:lastRowFirstColumn="0" w:lastRowLastColumn="0"/>
            </w:pPr>
            <w:r w:rsidRPr="00E262E5">
              <w:t>1949 </w:t>
            </w:r>
          </w:p>
        </w:tc>
      </w:tr>
      <w:tr w:rsidR="00E262E5" w:rsidRPr="00E262E5" w14:paraId="464BB07A" w14:textId="77777777" w:rsidTr="185A73F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216" w:type="dxa"/>
            <w:hideMark/>
          </w:tcPr>
          <w:p w14:paraId="447EB7B5" w14:textId="77777777" w:rsidR="00E262E5" w:rsidRPr="00E262E5" w:rsidRDefault="00E262E5" w:rsidP="00E262E5">
            <w:r w:rsidRPr="00E262E5">
              <w:t>Serious Organised Crime and Police Act 2005 </w:t>
            </w:r>
          </w:p>
        </w:tc>
        <w:tc>
          <w:tcPr>
            <w:tcW w:w="1755" w:type="dxa"/>
            <w:hideMark/>
          </w:tcPr>
          <w:p w14:paraId="4C5A7BC9" w14:textId="77777777" w:rsidR="00E262E5" w:rsidRPr="00E262E5" w:rsidRDefault="00E262E5" w:rsidP="00E262E5">
            <w:pPr>
              <w:cnfStyle w:val="000000100000" w:firstRow="0" w:lastRow="0" w:firstColumn="0" w:lastColumn="0" w:oddVBand="0" w:evenVBand="0" w:oddHBand="1" w:evenHBand="0" w:firstRowFirstColumn="0" w:firstRowLastColumn="0" w:lastRowFirstColumn="0" w:lastRowLastColumn="0"/>
            </w:pPr>
            <w:r w:rsidRPr="00E262E5">
              <w:t>2005 </w:t>
            </w:r>
          </w:p>
        </w:tc>
      </w:tr>
    </w:tbl>
    <w:p w14:paraId="60BE05B8" w14:textId="77777777" w:rsidR="00E262E5" w:rsidRPr="00E262E5" w:rsidRDefault="00E262E5" w:rsidP="00E262E5">
      <w:r w:rsidRPr="00E262E5">
        <w:t> </w:t>
      </w:r>
    </w:p>
    <w:p w14:paraId="74EE5608" w14:textId="65F4F865" w:rsidR="00E262E5" w:rsidRPr="00E262E5" w:rsidRDefault="00E262E5" w:rsidP="00687DFD">
      <w:pPr>
        <w:jc w:val="center"/>
      </w:pPr>
      <w:r w:rsidRPr="00E262E5">
        <w:rPr>
          <w:i/>
          <w:iCs/>
          <w:u w:val="single"/>
        </w:rPr>
        <w:t xml:space="preserve">Table </w:t>
      </w:r>
      <w:r w:rsidR="003C2B38">
        <w:rPr>
          <w:i/>
          <w:iCs/>
          <w:u w:val="single"/>
        </w:rPr>
        <w:t>2</w:t>
      </w:r>
      <w:r w:rsidRPr="00E262E5">
        <w:rPr>
          <w:i/>
          <w:iCs/>
          <w:u w:val="single"/>
        </w:rPr>
        <w:t> - Applicable Legislation</w:t>
      </w:r>
    </w:p>
    <w:p w14:paraId="76676A36" w14:textId="77777777" w:rsidR="00E262E5" w:rsidRPr="00E262E5" w:rsidRDefault="00E262E5" w:rsidP="00E262E5">
      <w:r w:rsidRPr="00E262E5">
        <w:t> </w:t>
      </w:r>
    </w:p>
    <w:p w14:paraId="636EC345" w14:textId="16E6E773" w:rsidR="00E262E5" w:rsidRDefault="00E262E5" w:rsidP="003B435D"/>
    <w:p w14:paraId="5CB52852" w14:textId="77777777" w:rsidR="00B51980" w:rsidRDefault="00B51980">
      <w:pPr>
        <w:rPr>
          <w:rFonts w:asciiTheme="majorHAnsi" w:eastAsiaTheme="majorEastAsia" w:hAnsiTheme="majorHAnsi" w:cstheme="majorBidi"/>
          <w:color w:val="2F5496" w:themeColor="accent1" w:themeShade="BF"/>
          <w:sz w:val="32"/>
          <w:szCs w:val="32"/>
        </w:rPr>
      </w:pPr>
      <w:r>
        <w:br w:type="page"/>
      </w:r>
    </w:p>
    <w:p w14:paraId="3349F24E" w14:textId="1336A362" w:rsidR="001A0C1B" w:rsidRDefault="00B51980" w:rsidP="001A18B3">
      <w:pPr>
        <w:pStyle w:val="Heading1"/>
      </w:pPr>
      <w:r>
        <w:t>S</w:t>
      </w:r>
      <w:r w:rsidR="001A18B3">
        <w:t xml:space="preserve">ecurity </w:t>
      </w:r>
      <w:r w:rsidR="001A0C1B">
        <w:t>Policy Framework</w:t>
      </w:r>
    </w:p>
    <w:p w14:paraId="5FD73073" w14:textId="5D6AA5D6" w:rsidR="001A0C1B" w:rsidRDefault="001A0C1B" w:rsidP="003B435D"/>
    <w:p w14:paraId="52E96E3E" w14:textId="77777777" w:rsidR="00B51980" w:rsidRDefault="628097E5" w:rsidP="003B435D">
      <w:r>
        <w:t>More details on specific policy areas are available through the Security Policy Framework.  The diagram below identifies specific policy areas and guidance materials:</w:t>
      </w:r>
    </w:p>
    <w:p w14:paraId="5F68D875" w14:textId="6037248D" w:rsidR="001A0C1B" w:rsidRDefault="001A0C1B" w:rsidP="003B435D"/>
    <w:p w14:paraId="61378D5C" w14:textId="77777777" w:rsidR="001A18B3" w:rsidRDefault="001A18B3" w:rsidP="003B435D"/>
    <w:p w14:paraId="512CA200" w14:textId="7C2E8E63" w:rsidR="628097E5" w:rsidRDefault="00FF2AFC" w:rsidP="628097E5">
      <w:r>
        <w:rPr>
          <w:noProof/>
        </w:rPr>
        <w:drawing>
          <wp:inline distT="0" distB="0" distL="0" distR="0" wp14:anchorId="211970F7" wp14:editId="5AAD5871">
            <wp:extent cx="5727701" cy="3328670"/>
            <wp:effectExtent l="0" t="0" r="6350" b="5080"/>
            <wp:docPr id="2102418873"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727701" cy="3328670"/>
                    </a:xfrm>
                    <a:prstGeom prst="rect">
                      <a:avLst/>
                    </a:prstGeom>
                  </pic:spPr>
                </pic:pic>
              </a:graphicData>
            </a:graphic>
          </wp:inline>
        </w:drawing>
      </w:r>
    </w:p>
    <w:p w14:paraId="0499B82A" w14:textId="629C7601" w:rsidR="628097E5" w:rsidRDefault="628097E5" w:rsidP="628097E5"/>
    <w:p w14:paraId="3C4B5BF3" w14:textId="7A316446" w:rsidR="628097E5" w:rsidRDefault="628097E5" w:rsidP="628097E5">
      <w:pPr>
        <w:pStyle w:val="Heading1"/>
      </w:pPr>
      <w:r>
        <w:t>Authority</w:t>
      </w:r>
    </w:p>
    <w:p w14:paraId="464A6774" w14:textId="17623DDD" w:rsidR="628097E5" w:rsidRDefault="628097E5" w:rsidP="628097E5">
      <w:r>
        <w:t>Staff, contractors, consultants, visitors and guests who act in breach of this policy, or who do not act to implement it, may be subject to disciplinary procedures or other appropriate sanctions.</w:t>
      </w:r>
    </w:p>
    <w:p w14:paraId="4FE267B3" w14:textId="7D375CF2" w:rsidR="628097E5" w:rsidRDefault="628097E5" w:rsidP="628097E5">
      <w:pPr>
        <w:pStyle w:val="Heading1"/>
      </w:pPr>
      <w:r>
        <w:t>Review</w:t>
      </w:r>
    </w:p>
    <w:p w14:paraId="0BD92CE3" w14:textId="20EF87AB" w:rsidR="628097E5" w:rsidRDefault="628097E5" w:rsidP="628097E5">
      <w:r>
        <w:t>This policy will be reviewed annually.</w:t>
      </w:r>
    </w:p>
    <w:p w14:paraId="5F8C5F3E" w14:textId="3E8221DE" w:rsidR="628097E5" w:rsidRDefault="628097E5" w:rsidP="628097E5">
      <w:pPr>
        <w:pStyle w:val="Heading1"/>
      </w:pPr>
      <w:r>
        <w:t>References</w:t>
      </w:r>
    </w:p>
    <w:p w14:paraId="215A2A07" w14:textId="56EADDB7" w:rsidR="00B51980" w:rsidRDefault="00E650A8" w:rsidP="00B51980">
      <w:r>
        <w:t>None</w:t>
      </w:r>
    </w:p>
    <w:p w14:paraId="0B4897A4" w14:textId="77777777" w:rsidR="00E650A8" w:rsidRPr="00B51980" w:rsidRDefault="00E650A8" w:rsidP="00B51980"/>
    <w:p w14:paraId="08DFAB5B" w14:textId="6777A409" w:rsidR="628097E5" w:rsidRDefault="628097E5" w:rsidP="628097E5"/>
    <w:p w14:paraId="636B27F9" w14:textId="0C475A15" w:rsidR="628097E5" w:rsidRDefault="628097E5" w:rsidP="628097E5"/>
    <w:p w14:paraId="0F72D687" w14:textId="0985E99C" w:rsidR="005F7139" w:rsidRDefault="005F7139" w:rsidP="002D4D5B"/>
    <w:p w14:paraId="715FAF67" w14:textId="77777777" w:rsidR="009D2684" w:rsidRDefault="009D2684" w:rsidP="002D4D5B"/>
    <w:sectPr w:rsidR="009D2684" w:rsidSect="00651B98">
      <w:headerReference w:type="default" r:id="rId12"/>
      <w:footerReference w:type="default" r:id="rId13"/>
      <w:headerReference w:type="first" r:id="rId14"/>
      <w:footerReference w:type="first" r:id="rId15"/>
      <w:pgSz w:w="11900" w:h="16840"/>
      <w:pgMar w:top="1440" w:right="1440" w:bottom="1440" w:left="1440" w:header="567"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9669D" w14:textId="77777777" w:rsidR="00057318" w:rsidRDefault="00057318" w:rsidP="00CD3CA8">
      <w:r>
        <w:separator/>
      </w:r>
    </w:p>
  </w:endnote>
  <w:endnote w:type="continuationSeparator" w:id="0">
    <w:p w14:paraId="61E37B3E" w14:textId="77777777" w:rsidR="00057318" w:rsidRDefault="00057318" w:rsidP="00CD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02B1F" w14:textId="67FA10F1" w:rsidR="00F40066" w:rsidRDefault="00A00AAF">
    <w:pPr>
      <w:pStyle w:val="Footer"/>
    </w:pPr>
    <w:r>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Arabic  \* MERGEFORMAT ">
      <w:r>
        <w:rPr>
          <w:noProof/>
        </w:rPr>
        <w:t>9</w:t>
      </w:r>
    </w:fldSimple>
  </w:p>
  <w:p w14:paraId="0CF3011B" w14:textId="190FCE3C" w:rsidR="00CE70D5" w:rsidRDefault="14656ABD" w:rsidP="00BF12DF">
    <w:pPr>
      <w:pStyle w:val="Footer"/>
      <w:jc w:val="center"/>
    </w:pPr>
    <w:r>
      <w:rPr>
        <w:noProof/>
      </w:rPr>
      <w:drawing>
        <wp:inline distT="0" distB="0" distL="0" distR="0" wp14:anchorId="5F2D0767" wp14:editId="6B7F0B71">
          <wp:extent cx="5695948" cy="609891"/>
          <wp:effectExtent l="0" t="0" r="0" b="0"/>
          <wp:docPr id="55462350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695948" cy="60989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7"/>
      <w:gridCol w:w="3007"/>
      <w:gridCol w:w="3007"/>
    </w:tblGrid>
    <w:tr w:rsidR="605F571B" w14:paraId="0DA52F21" w14:textId="77777777" w:rsidTr="605F571B">
      <w:tc>
        <w:tcPr>
          <w:tcW w:w="3007" w:type="dxa"/>
        </w:tcPr>
        <w:p w14:paraId="3BAC65EA" w14:textId="59FF13E0" w:rsidR="605F571B" w:rsidRDefault="605F571B" w:rsidP="605F571B">
          <w:pPr>
            <w:pStyle w:val="Header"/>
            <w:ind w:left="-115"/>
          </w:pPr>
        </w:p>
      </w:tc>
      <w:tc>
        <w:tcPr>
          <w:tcW w:w="3007" w:type="dxa"/>
        </w:tcPr>
        <w:p w14:paraId="64E8E419" w14:textId="674C2F65" w:rsidR="605F571B" w:rsidRDefault="605F571B" w:rsidP="605F571B">
          <w:pPr>
            <w:pStyle w:val="Header"/>
            <w:jc w:val="center"/>
          </w:pPr>
        </w:p>
      </w:tc>
      <w:tc>
        <w:tcPr>
          <w:tcW w:w="3007" w:type="dxa"/>
        </w:tcPr>
        <w:p w14:paraId="1CD6A43C" w14:textId="50930054" w:rsidR="605F571B" w:rsidRDefault="605F571B" w:rsidP="605F571B">
          <w:pPr>
            <w:pStyle w:val="Header"/>
            <w:ind w:right="-115"/>
            <w:jc w:val="right"/>
          </w:pPr>
        </w:p>
      </w:tc>
    </w:tr>
  </w:tbl>
  <w:p w14:paraId="052C21D6" w14:textId="226DEB30" w:rsidR="605F571B" w:rsidRDefault="605F571B" w:rsidP="605F5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8789F" w14:textId="77777777" w:rsidR="00057318" w:rsidRDefault="00057318" w:rsidP="00CD3CA8">
      <w:r>
        <w:separator/>
      </w:r>
    </w:p>
  </w:footnote>
  <w:footnote w:type="continuationSeparator" w:id="0">
    <w:p w14:paraId="6D277722" w14:textId="77777777" w:rsidR="00057318" w:rsidRDefault="00057318" w:rsidP="00CD3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08D7F" w14:textId="77777777" w:rsidR="00CD3CA8" w:rsidRDefault="14656ABD" w:rsidP="00BF12DF">
    <w:pPr>
      <w:pStyle w:val="Header"/>
      <w:jc w:val="center"/>
    </w:pPr>
    <w:r>
      <w:rPr>
        <w:noProof/>
      </w:rPr>
      <w:drawing>
        <wp:inline distT="0" distB="0" distL="0" distR="0" wp14:anchorId="35982544" wp14:editId="16BFCDE2">
          <wp:extent cx="5762626" cy="900204"/>
          <wp:effectExtent l="0" t="0" r="0" b="0"/>
          <wp:docPr id="2293979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762626" cy="900204"/>
                  </a:xfrm>
                  <a:prstGeom prst="rect">
                    <a:avLst/>
                  </a:prstGeom>
                </pic:spPr>
              </pic:pic>
            </a:graphicData>
          </a:graphic>
        </wp:inline>
      </w:drawing>
    </w:r>
  </w:p>
  <w:p w14:paraId="2FB10DA4" w14:textId="77777777" w:rsidR="00CD3CA8" w:rsidRDefault="00CD3C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7"/>
      <w:gridCol w:w="3007"/>
      <w:gridCol w:w="3007"/>
    </w:tblGrid>
    <w:tr w:rsidR="605F571B" w14:paraId="7D76B386" w14:textId="77777777" w:rsidTr="605F571B">
      <w:tc>
        <w:tcPr>
          <w:tcW w:w="3007" w:type="dxa"/>
        </w:tcPr>
        <w:p w14:paraId="6A527002" w14:textId="69E294FD" w:rsidR="605F571B" w:rsidRDefault="605F571B" w:rsidP="605F571B">
          <w:pPr>
            <w:pStyle w:val="Header"/>
            <w:ind w:left="-115"/>
          </w:pPr>
        </w:p>
      </w:tc>
      <w:tc>
        <w:tcPr>
          <w:tcW w:w="3007" w:type="dxa"/>
        </w:tcPr>
        <w:p w14:paraId="41E55292" w14:textId="4C2A87DA" w:rsidR="605F571B" w:rsidRDefault="605F571B" w:rsidP="605F571B">
          <w:pPr>
            <w:pStyle w:val="Header"/>
            <w:jc w:val="center"/>
          </w:pPr>
        </w:p>
      </w:tc>
      <w:tc>
        <w:tcPr>
          <w:tcW w:w="3007" w:type="dxa"/>
        </w:tcPr>
        <w:p w14:paraId="48E6C3A5" w14:textId="61519300" w:rsidR="605F571B" w:rsidRDefault="605F571B" w:rsidP="605F571B">
          <w:pPr>
            <w:pStyle w:val="Header"/>
            <w:ind w:right="-115"/>
            <w:jc w:val="right"/>
          </w:pPr>
        </w:p>
      </w:tc>
    </w:tr>
  </w:tbl>
  <w:p w14:paraId="700E8FB0" w14:textId="5E0732CE" w:rsidR="605F571B" w:rsidRDefault="605F571B" w:rsidP="605F5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41AF2"/>
    <w:multiLevelType w:val="hybridMultilevel"/>
    <w:tmpl w:val="DF94C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E35A2"/>
    <w:multiLevelType w:val="multilevel"/>
    <w:tmpl w:val="A1E0A0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BA01EF3"/>
    <w:multiLevelType w:val="hybridMultilevel"/>
    <w:tmpl w:val="08480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E1E6C"/>
    <w:multiLevelType w:val="hybridMultilevel"/>
    <w:tmpl w:val="89FE5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1437A"/>
    <w:multiLevelType w:val="hybridMultilevel"/>
    <w:tmpl w:val="A9522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7697D"/>
    <w:multiLevelType w:val="hybridMultilevel"/>
    <w:tmpl w:val="3696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926125"/>
    <w:multiLevelType w:val="hybridMultilevel"/>
    <w:tmpl w:val="15C0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741F2"/>
    <w:multiLevelType w:val="hybridMultilevel"/>
    <w:tmpl w:val="43462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0C4675"/>
    <w:multiLevelType w:val="multilevel"/>
    <w:tmpl w:val="6D8E4B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E005668"/>
    <w:multiLevelType w:val="hybridMultilevel"/>
    <w:tmpl w:val="4BBCB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6600C8"/>
    <w:multiLevelType w:val="hybridMultilevel"/>
    <w:tmpl w:val="28CA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7B571D"/>
    <w:multiLevelType w:val="hybridMultilevel"/>
    <w:tmpl w:val="9DC8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FA1140"/>
    <w:multiLevelType w:val="hybridMultilevel"/>
    <w:tmpl w:val="D4D0C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4"/>
  </w:num>
  <w:num w:numId="4">
    <w:abstractNumId w:val="0"/>
  </w:num>
  <w:num w:numId="5">
    <w:abstractNumId w:val="2"/>
  </w:num>
  <w:num w:numId="6">
    <w:abstractNumId w:val="10"/>
  </w:num>
  <w:num w:numId="7">
    <w:abstractNumId w:val="6"/>
  </w:num>
  <w:num w:numId="8">
    <w:abstractNumId w:val="7"/>
  </w:num>
  <w:num w:numId="9">
    <w:abstractNumId w:val="1"/>
  </w:num>
  <w:num w:numId="10">
    <w:abstractNumId w:val="5"/>
  </w:num>
  <w:num w:numId="11">
    <w:abstractNumId w:val="8"/>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GwNDexMLYwNDNU0lEKTi0uzszPAymwqAUAhrF9AiwAAAA="/>
  </w:docVars>
  <w:rsids>
    <w:rsidRoot w:val="003B435D"/>
    <w:rsid w:val="00033157"/>
    <w:rsid w:val="00055E74"/>
    <w:rsid w:val="00057318"/>
    <w:rsid w:val="0006293A"/>
    <w:rsid w:val="0007000C"/>
    <w:rsid w:val="0008374F"/>
    <w:rsid w:val="0008424B"/>
    <w:rsid w:val="000902BC"/>
    <w:rsid w:val="00091FF4"/>
    <w:rsid w:val="00121BAF"/>
    <w:rsid w:val="001234EF"/>
    <w:rsid w:val="0014318E"/>
    <w:rsid w:val="00146ECA"/>
    <w:rsid w:val="00161D7F"/>
    <w:rsid w:val="001734D8"/>
    <w:rsid w:val="0018704C"/>
    <w:rsid w:val="001A0C1B"/>
    <w:rsid w:val="001A18B3"/>
    <w:rsid w:val="001D1715"/>
    <w:rsid w:val="001D3C97"/>
    <w:rsid w:val="001E001B"/>
    <w:rsid w:val="001E1F75"/>
    <w:rsid w:val="001E5F86"/>
    <w:rsid w:val="00247C82"/>
    <w:rsid w:val="0025654D"/>
    <w:rsid w:val="00266FEC"/>
    <w:rsid w:val="002A78F6"/>
    <w:rsid w:val="002B27EA"/>
    <w:rsid w:val="002D4D5B"/>
    <w:rsid w:val="00330F6F"/>
    <w:rsid w:val="00337180"/>
    <w:rsid w:val="00337483"/>
    <w:rsid w:val="0037250C"/>
    <w:rsid w:val="00383E27"/>
    <w:rsid w:val="003B435D"/>
    <w:rsid w:val="003C2B38"/>
    <w:rsid w:val="003C370A"/>
    <w:rsid w:val="00470540"/>
    <w:rsid w:val="004802B2"/>
    <w:rsid w:val="004918AE"/>
    <w:rsid w:val="00496CFF"/>
    <w:rsid w:val="004A008E"/>
    <w:rsid w:val="004F2216"/>
    <w:rsid w:val="00560A47"/>
    <w:rsid w:val="0058733B"/>
    <w:rsid w:val="005C19EF"/>
    <w:rsid w:val="005D1F39"/>
    <w:rsid w:val="005F4452"/>
    <w:rsid w:val="005F7139"/>
    <w:rsid w:val="00603455"/>
    <w:rsid w:val="00606721"/>
    <w:rsid w:val="006129FC"/>
    <w:rsid w:val="0063340D"/>
    <w:rsid w:val="00644D8D"/>
    <w:rsid w:val="00651B98"/>
    <w:rsid w:val="00674C9C"/>
    <w:rsid w:val="00687659"/>
    <w:rsid w:val="00687DFD"/>
    <w:rsid w:val="00730B53"/>
    <w:rsid w:val="00740A00"/>
    <w:rsid w:val="00756853"/>
    <w:rsid w:val="007708B4"/>
    <w:rsid w:val="00771ADB"/>
    <w:rsid w:val="007903E1"/>
    <w:rsid w:val="007925F8"/>
    <w:rsid w:val="00793470"/>
    <w:rsid w:val="007E0F0E"/>
    <w:rsid w:val="008531AB"/>
    <w:rsid w:val="008739DA"/>
    <w:rsid w:val="0089350F"/>
    <w:rsid w:val="008A2291"/>
    <w:rsid w:val="008C0FF5"/>
    <w:rsid w:val="008E68DE"/>
    <w:rsid w:val="00932120"/>
    <w:rsid w:val="0095275D"/>
    <w:rsid w:val="009970CE"/>
    <w:rsid w:val="009C70D5"/>
    <w:rsid w:val="009D2684"/>
    <w:rsid w:val="00A00AAF"/>
    <w:rsid w:val="00A01625"/>
    <w:rsid w:val="00A01805"/>
    <w:rsid w:val="00A24A8E"/>
    <w:rsid w:val="00A95847"/>
    <w:rsid w:val="00AA10ED"/>
    <w:rsid w:val="00AA3E64"/>
    <w:rsid w:val="00AD240D"/>
    <w:rsid w:val="00AD68F2"/>
    <w:rsid w:val="00B010ED"/>
    <w:rsid w:val="00B174AF"/>
    <w:rsid w:val="00B209C7"/>
    <w:rsid w:val="00B50B8C"/>
    <w:rsid w:val="00B51980"/>
    <w:rsid w:val="00B60AE5"/>
    <w:rsid w:val="00B6332D"/>
    <w:rsid w:val="00B82BFA"/>
    <w:rsid w:val="00B83EFB"/>
    <w:rsid w:val="00B92087"/>
    <w:rsid w:val="00BA1A3C"/>
    <w:rsid w:val="00BA1B11"/>
    <w:rsid w:val="00BD7B1D"/>
    <w:rsid w:val="00BE246A"/>
    <w:rsid w:val="00BF12DF"/>
    <w:rsid w:val="00C45A3D"/>
    <w:rsid w:val="00C67104"/>
    <w:rsid w:val="00C67216"/>
    <w:rsid w:val="00C87CAA"/>
    <w:rsid w:val="00C92705"/>
    <w:rsid w:val="00C95CDF"/>
    <w:rsid w:val="00CA5944"/>
    <w:rsid w:val="00CD13F7"/>
    <w:rsid w:val="00CD3CA8"/>
    <w:rsid w:val="00CE70D5"/>
    <w:rsid w:val="00D144CF"/>
    <w:rsid w:val="00D17238"/>
    <w:rsid w:val="00D31BA8"/>
    <w:rsid w:val="00D75190"/>
    <w:rsid w:val="00D8384A"/>
    <w:rsid w:val="00DD2BF8"/>
    <w:rsid w:val="00DF2EB7"/>
    <w:rsid w:val="00E11C9D"/>
    <w:rsid w:val="00E262E5"/>
    <w:rsid w:val="00E4772D"/>
    <w:rsid w:val="00E514B8"/>
    <w:rsid w:val="00E5204D"/>
    <w:rsid w:val="00E650A8"/>
    <w:rsid w:val="00EF337E"/>
    <w:rsid w:val="00F2250D"/>
    <w:rsid w:val="00F40066"/>
    <w:rsid w:val="00F71FDF"/>
    <w:rsid w:val="00F932BF"/>
    <w:rsid w:val="00FB6404"/>
    <w:rsid w:val="00FF2AFC"/>
    <w:rsid w:val="0AA57197"/>
    <w:rsid w:val="14656ABD"/>
    <w:rsid w:val="15740413"/>
    <w:rsid w:val="185A73FD"/>
    <w:rsid w:val="2C01C75F"/>
    <w:rsid w:val="605F571B"/>
    <w:rsid w:val="62809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17926"/>
  <w14:defaultImageDpi w14:val="32767"/>
  <w15:chartTrackingRefBased/>
  <w15:docId w15:val="{298C8326-ABCD-45E8-94E0-67CA4740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4D5B"/>
    <w:rPr>
      <w:rFonts w:eastAsiaTheme="minorEastAsia"/>
      <w:sz w:val="22"/>
    </w:rPr>
  </w:style>
  <w:style w:type="paragraph" w:styleId="Heading1">
    <w:name w:val="heading 1"/>
    <w:basedOn w:val="Normal"/>
    <w:next w:val="Normal"/>
    <w:link w:val="Heading1Char"/>
    <w:uiPriority w:val="9"/>
    <w:qFormat/>
    <w:rsid w:val="003B435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435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B435D"/>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CA8"/>
    <w:pPr>
      <w:tabs>
        <w:tab w:val="center" w:pos="4680"/>
        <w:tab w:val="right" w:pos="9360"/>
      </w:tabs>
    </w:pPr>
  </w:style>
  <w:style w:type="character" w:customStyle="1" w:styleId="HeaderChar">
    <w:name w:val="Header Char"/>
    <w:basedOn w:val="DefaultParagraphFont"/>
    <w:link w:val="Header"/>
    <w:uiPriority w:val="99"/>
    <w:rsid w:val="00CD3CA8"/>
  </w:style>
  <w:style w:type="paragraph" w:styleId="Footer">
    <w:name w:val="footer"/>
    <w:basedOn w:val="Normal"/>
    <w:link w:val="FooterChar"/>
    <w:uiPriority w:val="99"/>
    <w:unhideWhenUsed/>
    <w:rsid w:val="00CD3CA8"/>
    <w:pPr>
      <w:tabs>
        <w:tab w:val="center" w:pos="4680"/>
        <w:tab w:val="right" w:pos="9360"/>
      </w:tabs>
    </w:pPr>
  </w:style>
  <w:style w:type="character" w:customStyle="1" w:styleId="FooterChar">
    <w:name w:val="Footer Char"/>
    <w:basedOn w:val="DefaultParagraphFont"/>
    <w:link w:val="Footer"/>
    <w:uiPriority w:val="99"/>
    <w:rsid w:val="00CD3CA8"/>
  </w:style>
  <w:style w:type="paragraph" w:styleId="BalloonText">
    <w:name w:val="Balloon Text"/>
    <w:basedOn w:val="Normal"/>
    <w:link w:val="BalloonTextChar"/>
    <w:uiPriority w:val="99"/>
    <w:semiHidden/>
    <w:unhideWhenUsed/>
    <w:rsid w:val="00091F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1FF4"/>
    <w:rPr>
      <w:rFonts w:ascii="Times New Roman" w:eastAsiaTheme="minorEastAsia" w:hAnsi="Times New Roman" w:cs="Times New Roman"/>
      <w:sz w:val="18"/>
      <w:szCs w:val="18"/>
    </w:rPr>
  </w:style>
  <w:style w:type="paragraph" w:styleId="ListParagraph">
    <w:name w:val="List Paragraph"/>
    <w:basedOn w:val="Normal"/>
    <w:uiPriority w:val="34"/>
    <w:qFormat/>
    <w:rsid w:val="003B435D"/>
    <w:pPr>
      <w:ind w:left="720"/>
      <w:contextualSpacing/>
    </w:pPr>
  </w:style>
  <w:style w:type="character" w:customStyle="1" w:styleId="Heading1Char">
    <w:name w:val="Heading 1 Char"/>
    <w:basedOn w:val="DefaultParagraphFont"/>
    <w:link w:val="Heading1"/>
    <w:uiPriority w:val="9"/>
    <w:rsid w:val="003B435D"/>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3B435D"/>
    <w:rPr>
      <w:i/>
      <w:iCs/>
      <w:color w:val="404040" w:themeColor="text1" w:themeTint="BF"/>
    </w:rPr>
  </w:style>
  <w:style w:type="table" w:styleId="TableGrid">
    <w:name w:val="Table Grid"/>
    <w:basedOn w:val="TableNormal"/>
    <w:uiPriority w:val="39"/>
    <w:rsid w:val="003B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B435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B435D"/>
    <w:rPr>
      <w:rFonts w:asciiTheme="majorHAnsi" w:eastAsiaTheme="majorEastAsia" w:hAnsiTheme="majorHAnsi" w:cstheme="majorBidi"/>
      <w:color w:val="1F3763" w:themeColor="accent1" w:themeShade="7F"/>
    </w:rPr>
  </w:style>
  <w:style w:type="table" w:styleId="GridTable4-Accent5">
    <w:name w:val="Grid Table 4 Accent 5"/>
    <w:basedOn w:val="TableNormal"/>
    <w:uiPriority w:val="49"/>
    <w:rsid w:val="00B209C7"/>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itle">
    <w:name w:val="Title"/>
    <w:basedOn w:val="Normal"/>
    <w:next w:val="Normal"/>
    <w:link w:val="TitleChar"/>
    <w:uiPriority w:val="10"/>
    <w:qFormat/>
    <w:rsid w:val="00A00AA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0AA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00AAF"/>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rsid w:val="00A00AAF"/>
    <w:rPr>
      <w:rFonts w:eastAsiaTheme="minorEastAsia"/>
      <w:color w:val="5A5A5A" w:themeColor="text1" w:themeTint="A5"/>
      <w:spacing w:val="15"/>
      <w:sz w:val="22"/>
      <w:szCs w:val="22"/>
    </w:rPr>
  </w:style>
  <w:style w:type="table" w:styleId="LightShading-Accent1">
    <w:name w:val="Light Shading Accent 1"/>
    <w:basedOn w:val="TableNormal"/>
    <w:uiPriority w:val="60"/>
    <w:rsid w:val="00146ECA"/>
    <w:rPr>
      <w:rFonts w:ascii="Times New Roman" w:eastAsia="Times New Roman" w:hAnsi="Times New Roman" w:cs="Times New Roman"/>
      <w:color w:val="2F5496" w:themeColor="accent1" w:themeShade="BF"/>
      <w:sz w:val="20"/>
      <w:szCs w:val="20"/>
      <w:lang w:eastAsia="en-GB"/>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PlaceholderText">
    <w:name w:val="Placeholder Text"/>
    <w:basedOn w:val="DefaultParagraphFont"/>
    <w:uiPriority w:val="99"/>
    <w:semiHidden/>
    <w:rsid w:val="00146E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317351">
      <w:bodyDiv w:val="1"/>
      <w:marLeft w:val="0"/>
      <w:marRight w:val="0"/>
      <w:marTop w:val="0"/>
      <w:marBottom w:val="0"/>
      <w:divBdr>
        <w:top w:val="none" w:sz="0" w:space="0" w:color="auto"/>
        <w:left w:val="none" w:sz="0" w:space="0" w:color="auto"/>
        <w:bottom w:val="none" w:sz="0" w:space="0" w:color="auto"/>
        <w:right w:val="none" w:sz="0" w:space="0" w:color="auto"/>
      </w:divBdr>
      <w:divsChild>
        <w:div w:id="511143522">
          <w:marLeft w:val="0"/>
          <w:marRight w:val="0"/>
          <w:marTop w:val="0"/>
          <w:marBottom w:val="0"/>
          <w:divBdr>
            <w:top w:val="none" w:sz="0" w:space="0" w:color="auto"/>
            <w:left w:val="none" w:sz="0" w:space="0" w:color="auto"/>
            <w:bottom w:val="none" w:sz="0" w:space="0" w:color="auto"/>
            <w:right w:val="none" w:sz="0" w:space="0" w:color="auto"/>
          </w:divBdr>
        </w:div>
        <w:div w:id="1846892479">
          <w:marLeft w:val="0"/>
          <w:marRight w:val="0"/>
          <w:marTop w:val="0"/>
          <w:marBottom w:val="0"/>
          <w:divBdr>
            <w:top w:val="none" w:sz="0" w:space="0" w:color="auto"/>
            <w:left w:val="none" w:sz="0" w:space="0" w:color="auto"/>
            <w:bottom w:val="none" w:sz="0" w:space="0" w:color="auto"/>
            <w:right w:val="none" w:sz="0" w:space="0" w:color="auto"/>
          </w:divBdr>
          <w:divsChild>
            <w:div w:id="244151634">
              <w:marLeft w:val="-75"/>
              <w:marRight w:val="0"/>
              <w:marTop w:val="30"/>
              <w:marBottom w:val="30"/>
              <w:divBdr>
                <w:top w:val="none" w:sz="0" w:space="0" w:color="auto"/>
                <w:left w:val="none" w:sz="0" w:space="0" w:color="auto"/>
                <w:bottom w:val="none" w:sz="0" w:space="0" w:color="auto"/>
                <w:right w:val="none" w:sz="0" w:space="0" w:color="auto"/>
              </w:divBdr>
              <w:divsChild>
                <w:div w:id="796030355">
                  <w:marLeft w:val="0"/>
                  <w:marRight w:val="0"/>
                  <w:marTop w:val="0"/>
                  <w:marBottom w:val="0"/>
                  <w:divBdr>
                    <w:top w:val="none" w:sz="0" w:space="0" w:color="auto"/>
                    <w:left w:val="none" w:sz="0" w:space="0" w:color="auto"/>
                    <w:bottom w:val="none" w:sz="0" w:space="0" w:color="auto"/>
                    <w:right w:val="none" w:sz="0" w:space="0" w:color="auto"/>
                  </w:divBdr>
                  <w:divsChild>
                    <w:div w:id="1114642408">
                      <w:marLeft w:val="0"/>
                      <w:marRight w:val="0"/>
                      <w:marTop w:val="0"/>
                      <w:marBottom w:val="0"/>
                      <w:divBdr>
                        <w:top w:val="none" w:sz="0" w:space="0" w:color="auto"/>
                        <w:left w:val="none" w:sz="0" w:space="0" w:color="auto"/>
                        <w:bottom w:val="none" w:sz="0" w:space="0" w:color="auto"/>
                        <w:right w:val="none" w:sz="0" w:space="0" w:color="auto"/>
                      </w:divBdr>
                    </w:div>
                  </w:divsChild>
                </w:div>
                <w:div w:id="281156140">
                  <w:marLeft w:val="0"/>
                  <w:marRight w:val="0"/>
                  <w:marTop w:val="0"/>
                  <w:marBottom w:val="0"/>
                  <w:divBdr>
                    <w:top w:val="none" w:sz="0" w:space="0" w:color="auto"/>
                    <w:left w:val="none" w:sz="0" w:space="0" w:color="auto"/>
                    <w:bottom w:val="none" w:sz="0" w:space="0" w:color="auto"/>
                    <w:right w:val="none" w:sz="0" w:space="0" w:color="auto"/>
                  </w:divBdr>
                  <w:divsChild>
                    <w:div w:id="808667969">
                      <w:marLeft w:val="0"/>
                      <w:marRight w:val="0"/>
                      <w:marTop w:val="0"/>
                      <w:marBottom w:val="0"/>
                      <w:divBdr>
                        <w:top w:val="none" w:sz="0" w:space="0" w:color="auto"/>
                        <w:left w:val="none" w:sz="0" w:space="0" w:color="auto"/>
                        <w:bottom w:val="none" w:sz="0" w:space="0" w:color="auto"/>
                        <w:right w:val="none" w:sz="0" w:space="0" w:color="auto"/>
                      </w:divBdr>
                    </w:div>
                  </w:divsChild>
                </w:div>
                <w:div w:id="2039550707">
                  <w:marLeft w:val="0"/>
                  <w:marRight w:val="0"/>
                  <w:marTop w:val="0"/>
                  <w:marBottom w:val="0"/>
                  <w:divBdr>
                    <w:top w:val="none" w:sz="0" w:space="0" w:color="auto"/>
                    <w:left w:val="none" w:sz="0" w:space="0" w:color="auto"/>
                    <w:bottom w:val="none" w:sz="0" w:space="0" w:color="auto"/>
                    <w:right w:val="none" w:sz="0" w:space="0" w:color="auto"/>
                  </w:divBdr>
                  <w:divsChild>
                    <w:div w:id="627012526">
                      <w:marLeft w:val="0"/>
                      <w:marRight w:val="0"/>
                      <w:marTop w:val="0"/>
                      <w:marBottom w:val="0"/>
                      <w:divBdr>
                        <w:top w:val="none" w:sz="0" w:space="0" w:color="auto"/>
                        <w:left w:val="none" w:sz="0" w:space="0" w:color="auto"/>
                        <w:bottom w:val="none" w:sz="0" w:space="0" w:color="auto"/>
                        <w:right w:val="none" w:sz="0" w:space="0" w:color="auto"/>
                      </w:divBdr>
                    </w:div>
                  </w:divsChild>
                </w:div>
                <w:div w:id="345597701">
                  <w:marLeft w:val="0"/>
                  <w:marRight w:val="0"/>
                  <w:marTop w:val="0"/>
                  <w:marBottom w:val="0"/>
                  <w:divBdr>
                    <w:top w:val="none" w:sz="0" w:space="0" w:color="auto"/>
                    <w:left w:val="none" w:sz="0" w:space="0" w:color="auto"/>
                    <w:bottom w:val="none" w:sz="0" w:space="0" w:color="auto"/>
                    <w:right w:val="none" w:sz="0" w:space="0" w:color="auto"/>
                  </w:divBdr>
                  <w:divsChild>
                    <w:div w:id="220018569">
                      <w:marLeft w:val="0"/>
                      <w:marRight w:val="0"/>
                      <w:marTop w:val="0"/>
                      <w:marBottom w:val="0"/>
                      <w:divBdr>
                        <w:top w:val="none" w:sz="0" w:space="0" w:color="auto"/>
                        <w:left w:val="none" w:sz="0" w:space="0" w:color="auto"/>
                        <w:bottom w:val="none" w:sz="0" w:space="0" w:color="auto"/>
                        <w:right w:val="none" w:sz="0" w:space="0" w:color="auto"/>
                      </w:divBdr>
                    </w:div>
                  </w:divsChild>
                </w:div>
                <w:div w:id="340788576">
                  <w:marLeft w:val="0"/>
                  <w:marRight w:val="0"/>
                  <w:marTop w:val="0"/>
                  <w:marBottom w:val="0"/>
                  <w:divBdr>
                    <w:top w:val="none" w:sz="0" w:space="0" w:color="auto"/>
                    <w:left w:val="none" w:sz="0" w:space="0" w:color="auto"/>
                    <w:bottom w:val="none" w:sz="0" w:space="0" w:color="auto"/>
                    <w:right w:val="none" w:sz="0" w:space="0" w:color="auto"/>
                  </w:divBdr>
                  <w:divsChild>
                    <w:div w:id="1333415492">
                      <w:marLeft w:val="0"/>
                      <w:marRight w:val="0"/>
                      <w:marTop w:val="0"/>
                      <w:marBottom w:val="0"/>
                      <w:divBdr>
                        <w:top w:val="none" w:sz="0" w:space="0" w:color="auto"/>
                        <w:left w:val="none" w:sz="0" w:space="0" w:color="auto"/>
                        <w:bottom w:val="none" w:sz="0" w:space="0" w:color="auto"/>
                        <w:right w:val="none" w:sz="0" w:space="0" w:color="auto"/>
                      </w:divBdr>
                    </w:div>
                  </w:divsChild>
                </w:div>
                <w:div w:id="271591870">
                  <w:marLeft w:val="0"/>
                  <w:marRight w:val="0"/>
                  <w:marTop w:val="0"/>
                  <w:marBottom w:val="0"/>
                  <w:divBdr>
                    <w:top w:val="none" w:sz="0" w:space="0" w:color="auto"/>
                    <w:left w:val="none" w:sz="0" w:space="0" w:color="auto"/>
                    <w:bottom w:val="none" w:sz="0" w:space="0" w:color="auto"/>
                    <w:right w:val="none" w:sz="0" w:space="0" w:color="auto"/>
                  </w:divBdr>
                  <w:divsChild>
                    <w:div w:id="781194629">
                      <w:marLeft w:val="0"/>
                      <w:marRight w:val="0"/>
                      <w:marTop w:val="0"/>
                      <w:marBottom w:val="0"/>
                      <w:divBdr>
                        <w:top w:val="none" w:sz="0" w:space="0" w:color="auto"/>
                        <w:left w:val="none" w:sz="0" w:space="0" w:color="auto"/>
                        <w:bottom w:val="none" w:sz="0" w:space="0" w:color="auto"/>
                        <w:right w:val="none" w:sz="0" w:space="0" w:color="auto"/>
                      </w:divBdr>
                    </w:div>
                  </w:divsChild>
                </w:div>
                <w:div w:id="1939019614">
                  <w:marLeft w:val="0"/>
                  <w:marRight w:val="0"/>
                  <w:marTop w:val="0"/>
                  <w:marBottom w:val="0"/>
                  <w:divBdr>
                    <w:top w:val="none" w:sz="0" w:space="0" w:color="auto"/>
                    <w:left w:val="none" w:sz="0" w:space="0" w:color="auto"/>
                    <w:bottom w:val="none" w:sz="0" w:space="0" w:color="auto"/>
                    <w:right w:val="none" w:sz="0" w:space="0" w:color="auto"/>
                  </w:divBdr>
                  <w:divsChild>
                    <w:div w:id="1636839230">
                      <w:marLeft w:val="0"/>
                      <w:marRight w:val="0"/>
                      <w:marTop w:val="0"/>
                      <w:marBottom w:val="0"/>
                      <w:divBdr>
                        <w:top w:val="none" w:sz="0" w:space="0" w:color="auto"/>
                        <w:left w:val="none" w:sz="0" w:space="0" w:color="auto"/>
                        <w:bottom w:val="none" w:sz="0" w:space="0" w:color="auto"/>
                        <w:right w:val="none" w:sz="0" w:space="0" w:color="auto"/>
                      </w:divBdr>
                    </w:div>
                  </w:divsChild>
                </w:div>
                <w:div w:id="2104256110">
                  <w:marLeft w:val="0"/>
                  <w:marRight w:val="0"/>
                  <w:marTop w:val="0"/>
                  <w:marBottom w:val="0"/>
                  <w:divBdr>
                    <w:top w:val="none" w:sz="0" w:space="0" w:color="auto"/>
                    <w:left w:val="none" w:sz="0" w:space="0" w:color="auto"/>
                    <w:bottom w:val="none" w:sz="0" w:space="0" w:color="auto"/>
                    <w:right w:val="none" w:sz="0" w:space="0" w:color="auto"/>
                  </w:divBdr>
                  <w:divsChild>
                    <w:div w:id="250436641">
                      <w:marLeft w:val="0"/>
                      <w:marRight w:val="0"/>
                      <w:marTop w:val="0"/>
                      <w:marBottom w:val="0"/>
                      <w:divBdr>
                        <w:top w:val="none" w:sz="0" w:space="0" w:color="auto"/>
                        <w:left w:val="none" w:sz="0" w:space="0" w:color="auto"/>
                        <w:bottom w:val="none" w:sz="0" w:space="0" w:color="auto"/>
                        <w:right w:val="none" w:sz="0" w:space="0" w:color="auto"/>
                      </w:divBdr>
                    </w:div>
                  </w:divsChild>
                </w:div>
                <w:div w:id="1760830389">
                  <w:marLeft w:val="0"/>
                  <w:marRight w:val="0"/>
                  <w:marTop w:val="0"/>
                  <w:marBottom w:val="0"/>
                  <w:divBdr>
                    <w:top w:val="none" w:sz="0" w:space="0" w:color="auto"/>
                    <w:left w:val="none" w:sz="0" w:space="0" w:color="auto"/>
                    <w:bottom w:val="none" w:sz="0" w:space="0" w:color="auto"/>
                    <w:right w:val="none" w:sz="0" w:space="0" w:color="auto"/>
                  </w:divBdr>
                  <w:divsChild>
                    <w:div w:id="939527428">
                      <w:marLeft w:val="0"/>
                      <w:marRight w:val="0"/>
                      <w:marTop w:val="0"/>
                      <w:marBottom w:val="0"/>
                      <w:divBdr>
                        <w:top w:val="none" w:sz="0" w:space="0" w:color="auto"/>
                        <w:left w:val="none" w:sz="0" w:space="0" w:color="auto"/>
                        <w:bottom w:val="none" w:sz="0" w:space="0" w:color="auto"/>
                        <w:right w:val="none" w:sz="0" w:space="0" w:color="auto"/>
                      </w:divBdr>
                    </w:div>
                  </w:divsChild>
                </w:div>
                <w:div w:id="646713414">
                  <w:marLeft w:val="0"/>
                  <w:marRight w:val="0"/>
                  <w:marTop w:val="0"/>
                  <w:marBottom w:val="0"/>
                  <w:divBdr>
                    <w:top w:val="none" w:sz="0" w:space="0" w:color="auto"/>
                    <w:left w:val="none" w:sz="0" w:space="0" w:color="auto"/>
                    <w:bottom w:val="none" w:sz="0" w:space="0" w:color="auto"/>
                    <w:right w:val="none" w:sz="0" w:space="0" w:color="auto"/>
                  </w:divBdr>
                  <w:divsChild>
                    <w:div w:id="1579248185">
                      <w:marLeft w:val="0"/>
                      <w:marRight w:val="0"/>
                      <w:marTop w:val="0"/>
                      <w:marBottom w:val="0"/>
                      <w:divBdr>
                        <w:top w:val="none" w:sz="0" w:space="0" w:color="auto"/>
                        <w:left w:val="none" w:sz="0" w:space="0" w:color="auto"/>
                        <w:bottom w:val="none" w:sz="0" w:space="0" w:color="auto"/>
                        <w:right w:val="none" w:sz="0" w:space="0" w:color="auto"/>
                      </w:divBdr>
                    </w:div>
                  </w:divsChild>
                </w:div>
                <w:div w:id="970983357">
                  <w:marLeft w:val="0"/>
                  <w:marRight w:val="0"/>
                  <w:marTop w:val="0"/>
                  <w:marBottom w:val="0"/>
                  <w:divBdr>
                    <w:top w:val="none" w:sz="0" w:space="0" w:color="auto"/>
                    <w:left w:val="none" w:sz="0" w:space="0" w:color="auto"/>
                    <w:bottom w:val="none" w:sz="0" w:space="0" w:color="auto"/>
                    <w:right w:val="none" w:sz="0" w:space="0" w:color="auto"/>
                  </w:divBdr>
                  <w:divsChild>
                    <w:div w:id="1383167162">
                      <w:marLeft w:val="0"/>
                      <w:marRight w:val="0"/>
                      <w:marTop w:val="0"/>
                      <w:marBottom w:val="0"/>
                      <w:divBdr>
                        <w:top w:val="none" w:sz="0" w:space="0" w:color="auto"/>
                        <w:left w:val="none" w:sz="0" w:space="0" w:color="auto"/>
                        <w:bottom w:val="none" w:sz="0" w:space="0" w:color="auto"/>
                        <w:right w:val="none" w:sz="0" w:space="0" w:color="auto"/>
                      </w:divBdr>
                    </w:div>
                  </w:divsChild>
                </w:div>
                <w:div w:id="1892955305">
                  <w:marLeft w:val="0"/>
                  <w:marRight w:val="0"/>
                  <w:marTop w:val="0"/>
                  <w:marBottom w:val="0"/>
                  <w:divBdr>
                    <w:top w:val="none" w:sz="0" w:space="0" w:color="auto"/>
                    <w:left w:val="none" w:sz="0" w:space="0" w:color="auto"/>
                    <w:bottom w:val="none" w:sz="0" w:space="0" w:color="auto"/>
                    <w:right w:val="none" w:sz="0" w:space="0" w:color="auto"/>
                  </w:divBdr>
                  <w:divsChild>
                    <w:div w:id="1941596400">
                      <w:marLeft w:val="0"/>
                      <w:marRight w:val="0"/>
                      <w:marTop w:val="0"/>
                      <w:marBottom w:val="0"/>
                      <w:divBdr>
                        <w:top w:val="none" w:sz="0" w:space="0" w:color="auto"/>
                        <w:left w:val="none" w:sz="0" w:space="0" w:color="auto"/>
                        <w:bottom w:val="none" w:sz="0" w:space="0" w:color="auto"/>
                        <w:right w:val="none" w:sz="0" w:space="0" w:color="auto"/>
                      </w:divBdr>
                    </w:div>
                  </w:divsChild>
                </w:div>
                <w:div w:id="1069353406">
                  <w:marLeft w:val="0"/>
                  <w:marRight w:val="0"/>
                  <w:marTop w:val="0"/>
                  <w:marBottom w:val="0"/>
                  <w:divBdr>
                    <w:top w:val="none" w:sz="0" w:space="0" w:color="auto"/>
                    <w:left w:val="none" w:sz="0" w:space="0" w:color="auto"/>
                    <w:bottom w:val="none" w:sz="0" w:space="0" w:color="auto"/>
                    <w:right w:val="none" w:sz="0" w:space="0" w:color="auto"/>
                  </w:divBdr>
                  <w:divsChild>
                    <w:div w:id="1084300972">
                      <w:marLeft w:val="0"/>
                      <w:marRight w:val="0"/>
                      <w:marTop w:val="0"/>
                      <w:marBottom w:val="0"/>
                      <w:divBdr>
                        <w:top w:val="none" w:sz="0" w:space="0" w:color="auto"/>
                        <w:left w:val="none" w:sz="0" w:space="0" w:color="auto"/>
                        <w:bottom w:val="none" w:sz="0" w:space="0" w:color="auto"/>
                        <w:right w:val="none" w:sz="0" w:space="0" w:color="auto"/>
                      </w:divBdr>
                    </w:div>
                  </w:divsChild>
                </w:div>
                <w:div w:id="1952124447">
                  <w:marLeft w:val="0"/>
                  <w:marRight w:val="0"/>
                  <w:marTop w:val="0"/>
                  <w:marBottom w:val="0"/>
                  <w:divBdr>
                    <w:top w:val="none" w:sz="0" w:space="0" w:color="auto"/>
                    <w:left w:val="none" w:sz="0" w:space="0" w:color="auto"/>
                    <w:bottom w:val="none" w:sz="0" w:space="0" w:color="auto"/>
                    <w:right w:val="none" w:sz="0" w:space="0" w:color="auto"/>
                  </w:divBdr>
                  <w:divsChild>
                    <w:div w:id="1097751331">
                      <w:marLeft w:val="0"/>
                      <w:marRight w:val="0"/>
                      <w:marTop w:val="0"/>
                      <w:marBottom w:val="0"/>
                      <w:divBdr>
                        <w:top w:val="none" w:sz="0" w:space="0" w:color="auto"/>
                        <w:left w:val="none" w:sz="0" w:space="0" w:color="auto"/>
                        <w:bottom w:val="none" w:sz="0" w:space="0" w:color="auto"/>
                        <w:right w:val="none" w:sz="0" w:space="0" w:color="auto"/>
                      </w:divBdr>
                    </w:div>
                  </w:divsChild>
                </w:div>
                <w:div w:id="1763918354">
                  <w:marLeft w:val="0"/>
                  <w:marRight w:val="0"/>
                  <w:marTop w:val="0"/>
                  <w:marBottom w:val="0"/>
                  <w:divBdr>
                    <w:top w:val="none" w:sz="0" w:space="0" w:color="auto"/>
                    <w:left w:val="none" w:sz="0" w:space="0" w:color="auto"/>
                    <w:bottom w:val="none" w:sz="0" w:space="0" w:color="auto"/>
                    <w:right w:val="none" w:sz="0" w:space="0" w:color="auto"/>
                  </w:divBdr>
                  <w:divsChild>
                    <w:div w:id="1032732155">
                      <w:marLeft w:val="0"/>
                      <w:marRight w:val="0"/>
                      <w:marTop w:val="0"/>
                      <w:marBottom w:val="0"/>
                      <w:divBdr>
                        <w:top w:val="none" w:sz="0" w:space="0" w:color="auto"/>
                        <w:left w:val="none" w:sz="0" w:space="0" w:color="auto"/>
                        <w:bottom w:val="none" w:sz="0" w:space="0" w:color="auto"/>
                        <w:right w:val="none" w:sz="0" w:space="0" w:color="auto"/>
                      </w:divBdr>
                    </w:div>
                  </w:divsChild>
                </w:div>
                <w:div w:id="1632705642">
                  <w:marLeft w:val="0"/>
                  <w:marRight w:val="0"/>
                  <w:marTop w:val="0"/>
                  <w:marBottom w:val="0"/>
                  <w:divBdr>
                    <w:top w:val="none" w:sz="0" w:space="0" w:color="auto"/>
                    <w:left w:val="none" w:sz="0" w:space="0" w:color="auto"/>
                    <w:bottom w:val="none" w:sz="0" w:space="0" w:color="auto"/>
                    <w:right w:val="none" w:sz="0" w:space="0" w:color="auto"/>
                  </w:divBdr>
                  <w:divsChild>
                    <w:div w:id="1295140217">
                      <w:marLeft w:val="0"/>
                      <w:marRight w:val="0"/>
                      <w:marTop w:val="0"/>
                      <w:marBottom w:val="0"/>
                      <w:divBdr>
                        <w:top w:val="none" w:sz="0" w:space="0" w:color="auto"/>
                        <w:left w:val="none" w:sz="0" w:space="0" w:color="auto"/>
                        <w:bottom w:val="none" w:sz="0" w:space="0" w:color="auto"/>
                        <w:right w:val="none" w:sz="0" w:space="0" w:color="auto"/>
                      </w:divBdr>
                    </w:div>
                  </w:divsChild>
                </w:div>
                <w:div w:id="1590309639">
                  <w:marLeft w:val="0"/>
                  <w:marRight w:val="0"/>
                  <w:marTop w:val="0"/>
                  <w:marBottom w:val="0"/>
                  <w:divBdr>
                    <w:top w:val="none" w:sz="0" w:space="0" w:color="auto"/>
                    <w:left w:val="none" w:sz="0" w:space="0" w:color="auto"/>
                    <w:bottom w:val="none" w:sz="0" w:space="0" w:color="auto"/>
                    <w:right w:val="none" w:sz="0" w:space="0" w:color="auto"/>
                  </w:divBdr>
                  <w:divsChild>
                    <w:div w:id="237832055">
                      <w:marLeft w:val="0"/>
                      <w:marRight w:val="0"/>
                      <w:marTop w:val="0"/>
                      <w:marBottom w:val="0"/>
                      <w:divBdr>
                        <w:top w:val="none" w:sz="0" w:space="0" w:color="auto"/>
                        <w:left w:val="none" w:sz="0" w:space="0" w:color="auto"/>
                        <w:bottom w:val="none" w:sz="0" w:space="0" w:color="auto"/>
                        <w:right w:val="none" w:sz="0" w:space="0" w:color="auto"/>
                      </w:divBdr>
                    </w:div>
                  </w:divsChild>
                </w:div>
                <w:div w:id="358891397">
                  <w:marLeft w:val="0"/>
                  <w:marRight w:val="0"/>
                  <w:marTop w:val="0"/>
                  <w:marBottom w:val="0"/>
                  <w:divBdr>
                    <w:top w:val="none" w:sz="0" w:space="0" w:color="auto"/>
                    <w:left w:val="none" w:sz="0" w:space="0" w:color="auto"/>
                    <w:bottom w:val="none" w:sz="0" w:space="0" w:color="auto"/>
                    <w:right w:val="none" w:sz="0" w:space="0" w:color="auto"/>
                  </w:divBdr>
                  <w:divsChild>
                    <w:div w:id="953098530">
                      <w:marLeft w:val="0"/>
                      <w:marRight w:val="0"/>
                      <w:marTop w:val="0"/>
                      <w:marBottom w:val="0"/>
                      <w:divBdr>
                        <w:top w:val="none" w:sz="0" w:space="0" w:color="auto"/>
                        <w:left w:val="none" w:sz="0" w:space="0" w:color="auto"/>
                        <w:bottom w:val="none" w:sz="0" w:space="0" w:color="auto"/>
                        <w:right w:val="none" w:sz="0" w:space="0" w:color="auto"/>
                      </w:divBdr>
                    </w:div>
                  </w:divsChild>
                </w:div>
                <w:div w:id="261694503">
                  <w:marLeft w:val="0"/>
                  <w:marRight w:val="0"/>
                  <w:marTop w:val="0"/>
                  <w:marBottom w:val="0"/>
                  <w:divBdr>
                    <w:top w:val="none" w:sz="0" w:space="0" w:color="auto"/>
                    <w:left w:val="none" w:sz="0" w:space="0" w:color="auto"/>
                    <w:bottom w:val="none" w:sz="0" w:space="0" w:color="auto"/>
                    <w:right w:val="none" w:sz="0" w:space="0" w:color="auto"/>
                  </w:divBdr>
                  <w:divsChild>
                    <w:div w:id="2010595847">
                      <w:marLeft w:val="0"/>
                      <w:marRight w:val="0"/>
                      <w:marTop w:val="0"/>
                      <w:marBottom w:val="0"/>
                      <w:divBdr>
                        <w:top w:val="none" w:sz="0" w:space="0" w:color="auto"/>
                        <w:left w:val="none" w:sz="0" w:space="0" w:color="auto"/>
                        <w:bottom w:val="none" w:sz="0" w:space="0" w:color="auto"/>
                        <w:right w:val="none" w:sz="0" w:space="0" w:color="auto"/>
                      </w:divBdr>
                    </w:div>
                  </w:divsChild>
                </w:div>
                <w:div w:id="1460415636">
                  <w:marLeft w:val="0"/>
                  <w:marRight w:val="0"/>
                  <w:marTop w:val="0"/>
                  <w:marBottom w:val="0"/>
                  <w:divBdr>
                    <w:top w:val="none" w:sz="0" w:space="0" w:color="auto"/>
                    <w:left w:val="none" w:sz="0" w:space="0" w:color="auto"/>
                    <w:bottom w:val="none" w:sz="0" w:space="0" w:color="auto"/>
                    <w:right w:val="none" w:sz="0" w:space="0" w:color="auto"/>
                  </w:divBdr>
                  <w:divsChild>
                    <w:div w:id="1914777132">
                      <w:marLeft w:val="0"/>
                      <w:marRight w:val="0"/>
                      <w:marTop w:val="0"/>
                      <w:marBottom w:val="0"/>
                      <w:divBdr>
                        <w:top w:val="none" w:sz="0" w:space="0" w:color="auto"/>
                        <w:left w:val="none" w:sz="0" w:space="0" w:color="auto"/>
                        <w:bottom w:val="none" w:sz="0" w:space="0" w:color="auto"/>
                        <w:right w:val="none" w:sz="0" w:space="0" w:color="auto"/>
                      </w:divBdr>
                    </w:div>
                  </w:divsChild>
                </w:div>
                <w:div w:id="1522356329">
                  <w:marLeft w:val="0"/>
                  <w:marRight w:val="0"/>
                  <w:marTop w:val="0"/>
                  <w:marBottom w:val="0"/>
                  <w:divBdr>
                    <w:top w:val="none" w:sz="0" w:space="0" w:color="auto"/>
                    <w:left w:val="none" w:sz="0" w:space="0" w:color="auto"/>
                    <w:bottom w:val="none" w:sz="0" w:space="0" w:color="auto"/>
                    <w:right w:val="none" w:sz="0" w:space="0" w:color="auto"/>
                  </w:divBdr>
                  <w:divsChild>
                    <w:div w:id="783960091">
                      <w:marLeft w:val="0"/>
                      <w:marRight w:val="0"/>
                      <w:marTop w:val="0"/>
                      <w:marBottom w:val="0"/>
                      <w:divBdr>
                        <w:top w:val="none" w:sz="0" w:space="0" w:color="auto"/>
                        <w:left w:val="none" w:sz="0" w:space="0" w:color="auto"/>
                        <w:bottom w:val="none" w:sz="0" w:space="0" w:color="auto"/>
                        <w:right w:val="none" w:sz="0" w:space="0" w:color="auto"/>
                      </w:divBdr>
                    </w:div>
                  </w:divsChild>
                </w:div>
                <w:div w:id="1706590088">
                  <w:marLeft w:val="0"/>
                  <w:marRight w:val="0"/>
                  <w:marTop w:val="0"/>
                  <w:marBottom w:val="0"/>
                  <w:divBdr>
                    <w:top w:val="none" w:sz="0" w:space="0" w:color="auto"/>
                    <w:left w:val="none" w:sz="0" w:space="0" w:color="auto"/>
                    <w:bottom w:val="none" w:sz="0" w:space="0" w:color="auto"/>
                    <w:right w:val="none" w:sz="0" w:space="0" w:color="auto"/>
                  </w:divBdr>
                  <w:divsChild>
                    <w:div w:id="1519000263">
                      <w:marLeft w:val="0"/>
                      <w:marRight w:val="0"/>
                      <w:marTop w:val="0"/>
                      <w:marBottom w:val="0"/>
                      <w:divBdr>
                        <w:top w:val="none" w:sz="0" w:space="0" w:color="auto"/>
                        <w:left w:val="none" w:sz="0" w:space="0" w:color="auto"/>
                        <w:bottom w:val="none" w:sz="0" w:space="0" w:color="auto"/>
                        <w:right w:val="none" w:sz="0" w:space="0" w:color="auto"/>
                      </w:divBdr>
                    </w:div>
                  </w:divsChild>
                </w:div>
                <w:div w:id="548567189">
                  <w:marLeft w:val="0"/>
                  <w:marRight w:val="0"/>
                  <w:marTop w:val="0"/>
                  <w:marBottom w:val="0"/>
                  <w:divBdr>
                    <w:top w:val="none" w:sz="0" w:space="0" w:color="auto"/>
                    <w:left w:val="none" w:sz="0" w:space="0" w:color="auto"/>
                    <w:bottom w:val="none" w:sz="0" w:space="0" w:color="auto"/>
                    <w:right w:val="none" w:sz="0" w:space="0" w:color="auto"/>
                  </w:divBdr>
                  <w:divsChild>
                    <w:div w:id="1055541834">
                      <w:marLeft w:val="0"/>
                      <w:marRight w:val="0"/>
                      <w:marTop w:val="0"/>
                      <w:marBottom w:val="0"/>
                      <w:divBdr>
                        <w:top w:val="none" w:sz="0" w:space="0" w:color="auto"/>
                        <w:left w:val="none" w:sz="0" w:space="0" w:color="auto"/>
                        <w:bottom w:val="none" w:sz="0" w:space="0" w:color="auto"/>
                        <w:right w:val="none" w:sz="0" w:space="0" w:color="auto"/>
                      </w:divBdr>
                    </w:div>
                  </w:divsChild>
                </w:div>
                <w:div w:id="1687099602">
                  <w:marLeft w:val="0"/>
                  <w:marRight w:val="0"/>
                  <w:marTop w:val="0"/>
                  <w:marBottom w:val="0"/>
                  <w:divBdr>
                    <w:top w:val="none" w:sz="0" w:space="0" w:color="auto"/>
                    <w:left w:val="none" w:sz="0" w:space="0" w:color="auto"/>
                    <w:bottom w:val="none" w:sz="0" w:space="0" w:color="auto"/>
                    <w:right w:val="none" w:sz="0" w:space="0" w:color="auto"/>
                  </w:divBdr>
                  <w:divsChild>
                    <w:div w:id="379326367">
                      <w:marLeft w:val="0"/>
                      <w:marRight w:val="0"/>
                      <w:marTop w:val="0"/>
                      <w:marBottom w:val="0"/>
                      <w:divBdr>
                        <w:top w:val="none" w:sz="0" w:space="0" w:color="auto"/>
                        <w:left w:val="none" w:sz="0" w:space="0" w:color="auto"/>
                        <w:bottom w:val="none" w:sz="0" w:space="0" w:color="auto"/>
                        <w:right w:val="none" w:sz="0" w:space="0" w:color="auto"/>
                      </w:divBdr>
                    </w:div>
                  </w:divsChild>
                </w:div>
                <w:div w:id="625623221">
                  <w:marLeft w:val="0"/>
                  <w:marRight w:val="0"/>
                  <w:marTop w:val="0"/>
                  <w:marBottom w:val="0"/>
                  <w:divBdr>
                    <w:top w:val="none" w:sz="0" w:space="0" w:color="auto"/>
                    <w:left w:val="none" w:sz="0" w:space="0" w:color="auto"/>
                    <w:bottom w:val="none" w:sz="0" w:space="0" w:color="auto"/>
                    <w:right w:val="none" w:sz="0" w:space="0" w:color="auto"/>
                  </w:divBdr>
                  <w:divsChild>
                    <w:div w:id="1374501169">
                      <w:marLeft w:val="0"/>
                      <w:marRight w:val="0"/>
                      <w:marTop w:val="0"/>
                      <w:marBottom w:val="0"/>
                      <w:divBdr>
                        <w:top w:val="none" w:sz="0" w:space="0" w:color="auto"/>
                        <w:left w:val="none" w:sz="0" w:space="0" w:color="auto"/>
                        <w:bottom w:val="none" w:sz="0" w:space="0" w:color="auto"/>
                        <w:right w:val="none" w:sz="0" w:space="0" w:color="auto"/>
                      </w:divBdr>
                    </w:div>
                  </w:divsChild>
                </w:div>
                <w:div w:id="242959797">
                  <w:marLeft w:val="0"/>
                  <w:marRight w:val="0"/>
                  <w:marTop w:val="0"/>
                  <w:marBottom w:val="0"/>
                  <w:divBdr>
                    <w:top w:val="none" w:sz="0" w:space="0" w:color="auto"/>
                    <w:left w:val="none" w:sz="0" w:space="0" w:color="auto"/>
                    <w:bottom w:val="none" w:sz="0" w:space="0" w:color="auto"/>
                    <w:right w:val="none" w:sz="0" w:space="0" w:color="auto"/>
                  </w:divBdr>
                  <w:divsChild>
                    <w:div w:id="1835871556">
                      <w:marLeft w:val="0"/>
                      <w:marRight w:val="0"/>
                      <w:marTop w:val="0"/>
                      <w:marBottom w:val="0"/>
                      <w:divBdr>
                        <w:top w:val="none" w:sz="0" w:space="0" w:color="auto"/>
                        <w:left w:val="none" w:sz="0" w:space="0" w:color="auto"/>
                        <w:bottom w:val="none" w:sz="0" w:space="0" w:color="auto"/>
                        <w:right w:val="none" w:sz="0" w:space="0" w:color="auto"/>
                      </w:divBdr>
                    </w:div>
                  </w:divsChild>
                </w:div>
                <w:div w:id="1908493884">
                  <w:marLeft w:val="0"/>
                  <w:marRight w:val="0"/>
                  <w:marTop w:val="0"/>
                  <w:marBottom w:val="0"/>
                  <w:divBdr>
                    <w:top w:val="none" w:sz="0" w:space="0" w:color="auto"/>
                    <w:left w:val="none" w:sz="0" w:space="0" w:color="auto"/>
                    <w:bottom w:val="none" w:sz="0" w:space="0" w:color="auto"/>
                    <w:right w:val="none" w:sz="0" w:space="0" w:color="auto"/>
                  </w:divBdr>
                  <w:divsChild>
                    <w:div w:id="1290864113">
                      <w:marLeft w:val="0"/>
                      <w:marRight w:val="0"/>
                      <w:marTop w:val="0"/>
                      <w:marBottom w:val="0"/>
                      <w:divBdr>
                        <w:top w:val="none" w:sz="0" w:space="0" w:color="auto"/>
                        <w:left w:val="none" w:sz="0" w:space="0" w:color="auto"/>
                        <w:bottom w:val="none" w:sz="0" w:space="0" w:color="auto"/>
                        <w:right w:val="none" w:sz="0" w:space="0" w:color="auto"/>
                      </w:divBdr>
                    </w:div>
                  </w:divsChild>
                </w:div>
                <w:div w:id="906264188">
                  <w:marLeft w:val="0"/>
                  <w:marRight w:val="0"/>
                  <w:marTop w:val="0"/>
                  <w:marBottom w:val="0"/>
                  <w:divBdr>
                    <w:top w:val="none" w:sz="0" w:space="0" w:color="auto"/>
                    <w:left w:val="none" w:sz="0" w:space="0" w:color="auto"/>
                    <w:bottom w:val="none" w:sz="0" w:space="0" w:color="auto"/>
                    <w:right w:val="none" w:sz="0" w:space="0" w:color="auto"/>
                  </w:divBdr>
                  <w:divsChild>
                    <w:div w:id="1989432971">
                      <w:marLeft w:val="0"/>
                      <w:marRight w:val="0"/>
                      <w:marTop w:val="0"/>
                      <w:marBottom w:val="0"/>
                      <w:divBdr>
                        <w:top w:val="none" w:sz="0" w:space="0" w:color="auto"/>
                        <w:left w:val="none" w:sz="0" w:space="0" w:color="auto"/>
                        <w:bottom w:val="none" w:sz="0" w:space="0" w:color="auto"/>
                        <w:right w:val="none" w:sz="0" w:space="0" w:color="auto"/>
                      </w:divBdr>
                    </w:div>
                  </w:divsChild>
                </w:div>
                <w:div w:id="186337681">
                  <w:marLeft w:val="0"/>
                  <w:marRight w:val="0"/>
                  <w:marTop w:val="0"/>
                  <w:marBottom w:val="0"/>
                  <w:divBdr>
                    <w:top w:val="none" w:sz="0" w:space="0" w:color="auto"/>
                    <w:left w:val="none" w:sz="0" w:space="0" w:color="auto"/>
                    <w:bottom w:val="none" w:sz="0" w:space="0" w:color="auto"/>
                    <w:right w:val="none" w:sz="0" w:space="0" w:color="auto"/>
                  </w:divBdr>
                  <w:divsChild>
                    <w:div w:id="269053470">
                      <w:marLeft w:val="0"/>
                      <w:marRight w:val="0"/>
                      <w:marTop w:val="0"/>
                      <w:marBottom w:val="0"/>
                      <w:divBdr>
                        <w:top w:val="none" w:sz="0" w:space="0" w:color="auto"/>
                        <w:left w:val="none" w:sz="0" w:space="0" w:color="auto"/>
                        <w:bottom w:val="none" w:sz="0" w:space="0" w:color="auto"/>
                        <w:right w:val="none" w:sz="0" w:space="0" w:color="auto"/>
                      </w:divBdr>
                    </w:div>
                  </w:divsChild>
                </w:div>
                <w:div w:id="567113416">
                  <w:marLeft w:val="0"/>
                  <w:marRight w:val="0"/>
                  <w:marTop w:val="0"/>
                  <w:marBottom w:val="0"/>
                  <w:divBdr>
                    <w:top w:val="none" w:sz="0" w:space="0" w:color="auto"/>
                    <w:left w:val="none" w:sz="0" w:space="0" w:color="auto"/>
                    <w:bottom w:val="none" w:sz="0" w:space="0" w:color="auto"/>
                    <w:right w:val="none" w:sz="0" w:space="0" w:color="auto"/>
                  </w:divBdr>
                  <w:divsChild>
                    <w:div w:id="1596474984">
                      <w:marLeft w:val="0"/>
                      <w:marRight w:val="0"/>
                      <w:marTop w:val="0"/>
                      <w:marBottom w:val="0"/>
                      <w:divBdr>
                        <w:top w:val="none" w:sz="0" w:space="0" w:color="auto"/>
                        <w:left w:val="none" w:sz="0" w:space="0" w:color="auto"/>
                        <w:bottom w:val="none" w:sz="0" w:space="0" w:color="auto"/>
                        <w:right w:val="none" w:sz="0" w:space="0" w:color="auto"/>
                      </w:divBdr>
                    </w:div>
                  </w:divsChild>
                </w:div>
                <w:div w:id="324237530">
                  <w:marLeft w:val="0"/>
                  <w:marRight w:val="0"/>
                  <w:marTop w:val="0"/>
                  <w:marBottom w:val="0"/>
                  <w:divBdr>
                    <w:top w:val="none" w:sz="0" w:space="0" w:color="auto"/>
                    <w:left w:val="none" w:sz="0" w:space="0" w:color="auto"/>
                    <w:bottom w:val="none" w:sz="0" w:space="0" w:color="auto"/>
                    <w:right w:val="none" w:sz="0" w:space="0" w:color="auto"/>
                  </w:divBdr>
                  <w:divsChild>
                    <w:div w:id="88476029">
                      <w:marLeft w:val="0"/>
                      <w:marRight w:val="0"/>
                      <w:marTop w:val="0"/>
                      <w:marBottom w:val="0"/>
                      <w:divBdr>
                        <w:top w:val="none" w:sz="0" w:space="0" w:color="auto"/>
                        <w:left w:val="none" w:sz="0" w:space="0" w:color="auto"/>
                        <w:bottom w:val="none" w:sz="0" w:space="0" w:color="auto"/>
                        <w:right w:val="none" w:sz="0" w:space="0" w:color="auto"/>
                      </w:divBdr>
                    </w:div>
                  </w:divsChild>
                </w:div>
                <w:div w:id="2087068555">
                  <w:marLeft w:val="0"/>
                  <w:marRight w:val="0"/>
                  <w:marTop w:val="0"/>
                  <w:marBottom w:val="0"/>
                  <w:divBdr>
                    <w:top w:val="none" w:sz="0" w:space="0" w:color="auto"/>
                    <w:left w:val="none" w:sz="0" w:space="0" w:color="auto"/>
                    <w:bottom w:val="none" w:sz="0" w:space="0" w:color="auto"/>
                    <w:right w:val="none" w:sz="0" w:space="0" w:color="auto"/>
                  </w:divBdr>
                  <w:divsChild>
                    <w:div w:id="17014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946289">
          <w:marLeft w:val="0"/>
          <w:marRight w:val="0"/>
          <w:marTop w:val="0"/>
          <w:marBottom w:val="0"/>
          <w:divBdr>
            <w:top w:val="none" w:sz="0" w:space="0" w:color="auto"/>
            <w:left w:val="none" w:sz="0" w:space="0" w:color="auto"/>
            <w:bottom w:val="none" w:sz="0" w:space="0" w:color="auto"/>
            <w:right w:val="none" w:sz="0" w:space="0" w:color="auto"/>
          </w:divBdr>
        </w:div>
        <w:div w:id="667950560">
          <w:marLeft w:val="0"/>
          <w:marRight w:val="0"/>
          <w:marTop w:val="0"/>
          <w:marBottom w:val="0"/>
          <w:divBdr>
            <w:top w:val="none" w:sz="0" w:space="0" w:color="auto"/>
            <w:left w:val="none" w:sz="0" w:space="0" w:color="auto"/>
            <w:bottom w:val="none" w:sz="0" w:space="0" w:color="auto"/>
            <w:right w:val="none" w:sz="0" w:space="0" w:color="auto"/>
          </w:divBdr>
        </w:div>
        <w:div w:id="528766163">
          <w:marLeft w:val="0"/>
          <w:marRight w:val="0"/>
          <w:marTop w:val="0"/>
          <w:marBottom w:val="0"/>
          <w:divBdr>
            <w:top w:val="none" w:sz="0" w:space="0" w:color="auto"/>
            <w:left w:val="none" w:sz="0" w:space="0" w:color="auto"/>
            <w:bottom w:val="none" w:sz="0" w:space="0" w:color="auto"/>
            <w:right w:val="none" w:sz="0" w:space="0" w:color="auto"/>
          </w:divBdr>
        </w:div>
        <w:div w:id="1430351694">
          <w:marLeft w:val="0"/>
          <w:marRight w:val="0"/>
          <w:marTop w:val="0"/>
          <w:marBottom w:val="0"/>
          <w:divBdr>
            <w:top w:val="none" w:sz="0" w:space="0" w:color="auto"/>
            <w:left w:val="none" w:sz="0" w:space="0" w:color="auto"/>
            <w:bottom w:val="none" w:sz="0" w:space="0" w:color="auto"/>
            <w:right w:val="none" w:sz="0" w:space="0" w:color="auto"/>
          </w:divBdr>
        </w:div>
        <w:div w:id="460731842">
          <w:marLeft w:val="0"/>
          <w:marRight w:val="0"/>
          <w:marTop w:val="0"/>
          <w:marBottom w:val="0"/>
          <w:divBdr>
            <w:top w:val="none" w:sz="0" w:space="0" w:color="auto"/>
            <w:left w:val="none" w:sz="0" w:space="0" w:color="auto"/>
            <w:bottom w:val="none" w:sz="0" w:space="0" w:color="auto"/>
            <w:right w:val="none" w:sz="0" w:space="0" w:color="auto"/>
          </w:divBdr>
        </w:div>
        <w:div w:id="1587958622">
          <w:marLeft w:val="0"/>
          <w:marRight w:val="0"/>
          <w:marTop w:val="0"/>
          <w:marBottom w:val="0"/>
          <w:divBdr>
            <w:top w:val="none" w:sz="0" w:space="0" w:color="auto"/>
            <w:left w:val="none" w:sz="0" w:space="0" w:color="auto"/>
            <w:bottom w:val="none" w:sz="0" w:space="0" w:color="auto"/>
            <w:right w:val="none" w:sz="0" w:space="0" w:color="auto"/>
          </w:divBdr>
        </w:div>
        <w:div w:id="1581866621">
          <w:marLeft w:val="0"/>
          <w:marRight w:val="0"/>
          <w:marTop w:val="0"/>
          <w:marBottom w:val="0"/>
          <w:divBdr>
            <w:top w:val="none" w:sz="0" w:space="0" w:color="auto"/>
            <w:left w:val="none" w:sz="0" w:space="0" w:color="auto"/>
            <w:bottom w:val="none" w:sz="0" w:space="0" w:color="auto"/>
            <w:right w:val="none" w:sz="0" w:space="0" w:color="auto"/>
          </w:divBdr>
        </w:div>
        <w:div w:id="2001999787">
          <w:marLeft w:val="0"/>
          <w:marRight w:val="0"/>
          <w:marTop w:val="0"/>
          <w:marBottom w:val="0"/>
          <w:divBdr>
            <w:top w:val="none" w:sz="0" w:space="0" w:color="auto"/>
            <w:left w:val="none" w:sz="0" w:space="0" w:color="auto"/>
            <w:bottom w:val="none" w:sz="0" w:space="0" w:color="auto"/>
            <w:right w:val="none" w:sz="0" w:space="0" w:color="auto"/>
          </w:divBdr>
        </w:div>
      </w:divsChild>
    </w:div>
    <w:div w:id="202122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35C37A820DF4588A0F5AC9E7CED674E"/>
        <w:category>
          <w:name w:val="General"/>
          <w:gallery w:val="placeholder"/>
        </w:category>
        <w:types>
          <w:type w:val="bbPlcHdr"/>
        </w:types>
        <w:behaviors>
          <w:behavior w:val="content"/>
        </w:behaviors>
        <w:guid w:val="{CD9925CA-7FB0-46A2-B2CC-56F3148545C3}"/>
      </w:docPartPr>
      <w:docPartBody>
        <w:p w:rsidR="00A97DBE" w:rsidRDefault="007903E1" w:rsidP="007903E1">
          <w:pPr>
            <w:pStyle w:val="135C37A820DF4588A0F5AC9E7CED674E"/>
          </w:pPr>
          <w:r w:rsidRPr="004C0BC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3E1"/>
    <w:rsid w:val="0020535C"/>
    <w:rsid w:val="0037505E"/>
    <w:rsid w:val="004C25D1"/>
    <w:rsid w:val="00551228"/>
    <w:rsid w:val="00644D68"/>
    <w:rsid w:val="007903E1"/>
    <w:rsid w:val="00A97DBE"/>
    <w:rsid w:val="00D4343A"/>
    <w:rsid w:val="00FB5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3E1"/>
    <w:rPr>
      <w:color w:val="808080"/>
    </w:rPr>
  </w:style>
  <w:style w:type="paragraph" w:customStyle="1" w:styleId="135C37A820DF4588A0F5AC9E7CED674E">
    <w:name w:val="135C37A820DF4588A0F5AC9E7CED674E"/>
    <w:rsid w:val="007903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2175E5C7754418367D9116490F3E0" ma:contentTypeVersion="11" ma:contentTypeDescription="Create a new document." ma:contentTypeScope="" ma:versionID="df91578252b83ef387a88dd20799b064">
  <xsd:schema xmlns:xsd="http://www.w3.org/2001/XMLSchema" xmlns:xs="http://www.w3.org/2001/XMLSchema" xmlns:p="http://schemas.microsoft.com/office/2006/metadata/properties" xmlns:ns2="d2b6d95e-5959-405b-8cba-084f62ee2d6c" xmlns:ns3="4a3635b5-8993-4f8b-9cfa-90fe544312c9" targetNamespace="http://schemas.microsoft.com/office/2006/metadata/properties" ma:root="true" ma:fieldsID="76522703a25df96eb426621913a9f892" ns2:_="" ns3:_="">
    <xsd:import namespace="d2b6d95e-5959-405b-8cba-084f62ee2d6c"/>
    <xsd:import namespace="4a3635b5-8993-4f8b-9cfa-90fe544312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6d95e-5959-405b-8cba-084f62ee2d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3635b5-8993-4f8b-9cfa-90fe544312c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539E4E-B944-4F75-AB44-003424AC0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6d95e-5959-405b-8cba-084f62ee2d6c"/>
    <ds:schemaRef ds:uri="4a3635b5-8993-4f8b-9cfa-90fe54431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B38F58-A3DC-439A-8B3A-8B936C275E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AC72EF-4DF6-4176-8EFC-6FC2924CA2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3178</Words>
  <Characters>18116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Information Security Policy</vt:lpstr>
    </vt:vector>
  </TitlesOfParts>
  <Company/>
  <LinksUpToDate>false</LinksUpToDate>
  <CharactersWithSpaces>21252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Security Policy</dc:title>
  <dc:subject/>
  <dc:creator>Robert Clubb</dc:creator>
  <cp:keywords/>
  <dc:description/>
  <cp:lastModifiedBy>Robert Clubb</cp:lastModifiedBy>
  <cp:revision>2</cp:revision>
  <cp:lastPrinted>2019-10-21T14:07:00Z</cp:lastPrinted>
  <dcterms:created xsi:type="dcterms:W3CDTF">2020-06-29T15:05:00Z</dcterms:created>
  <dcterms:modified xsi:type="dcterms:W3CDTF">2020-06-29T15:05:00Z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0x0101007972175E5C7754418367D9116490F3E0</vt:lpwstr>
  </property>
</Properties>
</file>