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F6805" w14:textId="45873C03" w:rsidR="00491817" w:rsidRPr="00491817" w:rsidRDefault="00491817" w:rsidP="00491817">
      <w:pPr>
        <w:pStyle w:val="Heading1"/>
        <w:spacing w:before="120"/>
        <w:jc w:val="center"/>
      </w:pPr>
      <w:bookmarkStart w:id="0" w:name="_GoBack"/>
      <w:bookmarkEnd w:id="0"/>
      <w:r w:rsidRPr="00491817">
        <w:t>CPIB SLWG Climate Change, August 2</w:t>
      </w:r>
      <w:r>
        <w:t>022</w:t>
      </w:r>
    </w:p>
    <w:p w14:paraId="42117C5F" w14:textId="34BE19B9" w:rsidR="00491817" w:rsidRPr="00491817" w:rsidRDefault="00491817" w:rsidP="00491817">
      <w:pPr>
        <w:pStyle w:val="Heading1"/>
        <w:spacing w:before="120"/>
        <w:jc w:val="center"/>
      </w:pPr>
      <w:r>
        <w:t>Key Areas for Action</w:t>
      </w:r>
    </w:p>
    <w:p w14:paraId="4D066840" w14:textId="77777777" w:rsidR="00491817" w:rsidRDefault="00491817" w:rsidP="00491817"/>
    <w:p w14:paraId="127CA829" w14:textId="77777777" w:rsidR="00491817" w:rsidRDefault="00491817" w:rsidP="00491817">
      <w:pPr>
        <w:pStyle w:val="Heading2"/>
      </w:pPr>
      <w:r w:rsidRPr="0087559E">
        <w:t>Reduce fragmentation in the funding landscape</w:t>
      </w:r>
    </w:p>
    <w:p w14:paraId="534BF5B9" w14:textId="5E3BA802" w:rsidR="00491817" w:rsidRPr="0087559E" w:rsidRDefault="00491817" w:rsidP="00491817">
      <w:pPr>
        <w:numPr>
          <w:ilvl w:val="0"/>
          <w:numId w:val="1"/>
        </w:numPr>
        <w:spacing w:after="0"/>
      </w:pPr>
      <w:r w:rsidRPr="0087559E">
        <w:t>The funding landscape is complex and fragmented</w:t>
      </w:r>
      <w:r>
        <w:t xml:space="preserve">, </w:t>
      </w:r>
      <w:r w:rsidRPr="0087559E">
        <w:t xml:space="preserve">and action is needed to </w:t>
      </w:r>
    </w:p>
    <w:p w14:paraId="241EA954" w14:textId="77777777" w:rsidR="00491817" w:rsidRPr="0087559E" w:rsidRDefault="00491817" w:rsidP="00491817">
      <w:pPr>
        <w:numPr>
          <w:ilvl w:val="1"/>
          <w:numId w:val="1"/>
        </w:numPr>
        <w:spacing w:after="0"/>
      </w:pPr>
      <w:r w:rsidRPr="0087559E">
        <w:t>Declutter, consolidate and develop a leaner approach to improve access for the public sector, including the Third Sector (capacity; word of mouth)</w:t>
      </w:r>
    </w:p>
    <w:p w14:paraId="4752BD4D" w14:textId="77777777" w:rsidR="00491817" w:rsidRPr="0087559E" w:rsidRDefault="00491817" w:rsidP="00491817">
      <w:pPr>
        <w:numPr>
          <w:ilvl w:val="1"/>
          <w:numId w:val="1"/>
        </w:numPr>
        <w:spacing w:after="0"/>
      </w:pPr>
      <w:r w:rsidRPr="0087559E">
        <w:t>Provide greater emphasis on investment in people to ensure we have the right skill sets and working practices (we invest in the asset, and underplay investment in people skills, and how to get people working differently)</w:t>
      </w:r>
    </w:p>
    <w:p w14:paraId="4C351F3E" w14:textId="4C541F3B" w:rsidR="00491817" w:rsidRPr="0087559E" w:rsidRDefault="00491817" w:rsidP="00491817">
      <w:pPr>
        <w:numPr>
          <w:ilvl w:val="0"/>
          <w:numId w:val="1"/>
        </w:numPr>
        <w:spacing w:after="0"/>
      </w:pPr>
      <w:r w:rsidRPr="0087559E">
        <w:t xml:space="preserve">The new </w:t>
      </w:r>
      <w:hyperlink r:id="rId5" w:anchor=":~:text=We%20are%20establishing%20a%20new,decarbonisation%20of%20heat%20across%20Scotland." w:history="1">
        <w:r w:rsidRPr="009D2469">
          <w:rPr>
            <w:rStyle w:val="Hyperlink"/>
          </w:rPr>
          <w:t>Virtual Energy Agency</w:t>
        </w:r>
      </w:hyperlink>
      <w:r w:rsidRPr="0087559E">
        <w:t xml:space="preserve"> provides an opportunity to develop a coherent investment strategy in relation to Climate (</w:t>
      </w:r>
      <w:r>
        <w:t>and go</w:t>
      </w:r>
      <w:r w:rsidRPr="0087559E">
        <w:t xml:space="preserve"> beyond the one aspect of transition currently proposed)</w:t>
      </w:r>
    </w:p>
    <w:p w14:paraId="2CFC796C" w14:textId="2E568B6B" w:rsidR="00491817" w:rsidRPr="0087559E" w:rsidRDefault="00491817" w:rsidP="00491817">
      <w:pPr>
        <w:numPr>
          <w:ilvl w:val="0"/>
          <w:numId w:val="1"/>
        </w:numPr>
        <w:spacing w:after="0"/>
      </w:pPr>
      <w:r w:rsidRPr="0087559E">
        <w:t>Make greater use of existing forums/structures</w:t>
      </w:r>
      <w:r>
        <w:t>:</w:t>
      </w:r>
    </w:p>
    <w:p w14:paraId="6CCAED49" w14:textId="77777777" w:rsidR="00491817" w:rsidRPr="0087559E" w:rsidRDefault="00491817" w:rsidP="00491817">
      <w:pPr>
        <w:numPr>
          <w:ilvl w:val="1"/>
          <w:numId w:val="1"/>
        </w:numPr>
        <w:spacing w:after="0"/>
      </w:pPr>
      <w:r w:rsidRPr="0087559E">
        <w:t>Stronger role for Community Planning</w:t>
      </w:r>
    </w:p>
    <w:p w14:paraId="3FFE0D8B" w14:textId="77777777" w:rsidR="00491817" w:rsidRPr="0087559E" w:rsidRDefault="00491817" w:rsidP="00491817">
      <w:pPr>
        <w:numPr>
          <w:ilvl w:val="2"/>
          <w:numId w:val="1"/>
        </w:numPr>
        <w:spacing w:after="0"/>
      </w:pPr>
      <w:r w:rsidRPr="0087559E">
        <w:t xml:space="preserve">Co-ordination around carbon trading and offsetting </w:t>
      </w:r>
    </w:p>
    <w:p w14:paraId="105A6970" w14:textId="5AD6C650" w:rsidR="00491817" w:rsidRDefault="00491817" w:rsidP="00491817">
      <w:pPr>
        <w:numPr>
          <w:ilvl w:val="2"/>
          <w:numId w:val="1"/>
        </w:numPr>
        <w:spacing w:after="0"/>
      </w:pPr>
      <w:r w:rsidRPr="0087559E">
        <w:t>Working with Communities to support behaviour shift</w:t>
      </w:r>
    </w:p>
    <w:p w14:paraId="41BB7DAE" w14:textId="0C57D58E" w:rsidR="0047156A" w:rsidRDefault="0047156A" w:rsidP="00491817">
      <w:pPr>
        <w:numPr>
          <w:ilvl w:val="2"/>
          <w:numId w:val="1"/>
        </w:numPr>
        <w:spacing w:after="0"/>
      </w:pPr>
      <w:r>
        <w:t>Greater emphasis on statutory sectors’ role as Anchor Organisations that should and could do more to direct private enterprise funds to local communities of need</w:t>
      </w:r>
      <w:r w:rsidR="00A604E1">
        <w:t>/to tackle poverty</w:t>
      </w:r>
    </w:p>
    <w:p w14:paraId="5D205EFF" w14:textId="77777777" w:rsidR="009D2469" w:rsidRDefault="00F22A5E" w:rsidP="00491817">
      <w:pPr>
        <w:numPr>
          <w:ilvl w:val="1"/>
          <w:numId w:val="1"/>
        </w:numPr>
        <w:spacing w:after="0"/>
      </w:pPr>
      <w:r>
        <w:t xml:space="preserve">Regional Climate Action Hubs and Co-ordinators </w:t>
      </w:r>
    </w:p>
    <w:p w14:paraId="39741BE7" w14:textId="47572FD2" w:rsidR="00F22A5E" w:rsidRDefault="00B96666" w:rsidP="009D2469">
      <w:pPr>
        <w:numPr>
          <w:ilvl w:val="2"/>
          <w:numId w:val="1"/>
        </w:numPr>
        <w:spacing w:after="0"/>
      </w:pPr>
      <w:r>
        <w:t xml:space="preserve">Supporting </w:t>
      </w:r>
      <w:r w:rsidR="00F22A5E">
        <w:t>greater co-ordination between funders</w:t>
      </w:r>
    </w:p>
    <w:p w14:paraId="2483D207" w14:textId="7CC64BA3" w:rsidR="00B96666" w:rsidRDefault="00B96666" w:rsidP="009D2469">
      <w:pPr>
        <w:numPr>
          <w:ilvl w:val="2"/>
          <w:numId w:val="1"/>
        </w:numPr>
        <w:spacing w:after="0"/>
      </w:pPr>
      <w:r>
        <w:t xml:space="preserve">Greater involvement of TSIs to support climate work within communities </w:t>
      </w:r>
    </w:p>
    <w:p w14:paraId="778B9C4A" w14:textId="26DAF84B" w:rsidR="00491817" w:rsidRPr="0087559E" w:rsidRDefault="00491817" w:rsidP="00491817">
      <w:pPr>
        <w:numPr>
          <w:ilvl w:val="1"/>
          <w:numId w:val="1"/>
        </w:numPr>
        <w:spacing w:after="0"/>
      </w:pPr>
      <w:r w:rsidRPr="0087559E">
        <w:t>Business Support Partnership (ongoing work to review and declutter PS funding landscape)</w:t>
      </w:r>
    </w:p>
    <w:p w14:paraId="41F7C256" w14:textId="77777777" w:rsidR="00491817" w:rsidRPr="0087559E" w:rsidRDefault="00491817" w:rsidP="00491817">
      <w:pPr>
        <w:numPr>
          <w:ilvl w:val="1"/>
          <w:numId w:val="1"/>
        </w:numPr>
        <w:spacing w:after="0"/>
      </w:pPr>
      <w:r w:rsidRPr="0087559E">
        <w:t>Scottish Cities Alliance (LG skills requirements)</w:t>
      </w:r>
    </w:p>
    <w:p w14:paraId="58E73608" w14:textId="43FFDCE0" w:rsidR="00491817" w:rsidRPr="0087559E" w:rsidRDefault="00491817" w:rsidP="00491817">
      <w:pPr>
        <w:numPr>
          <w:ilvl w:val="1"/>
          <w:numId w:val="1"/>
        </w:numPr>
        <w:spacing w:after="0"/>
      </w:pPr>
      <w:r w:rsidRPr="0087559E">
        <w:t xml:space="preserve">CESAP </w:t>
      </w:r>
      <w:r w:rsidR="00F22A5E">
        <w:t xml:space="preserve">(Climate Emergency Skills Action Plan) </w:t>
      </w:r>
      <w:r w:rsidRPr="0087559E">
        <w:t>Refresh in Spring 2023</w:t>
      </w:r>
    </w:p>
    <w:p w14:paraId="18E52C84" w14:textId="06B8BF19" w:rsidR="00B96666" w:rsidRDefault="00B96666" w:rsidP="00491817">
      <w:pPr>
        <w:numPr>
          <w:ilvl w:val="1"/>
          <w:numId w:val="1"/>
        </w:numPr>
        <w:spacing w:after="0"/>
      </w:pPr>
      <w:r>
        <w:t>Scottish Communities Climate Action Network (supporting community-led action)</w:t>
      </w:r>
    </w:p>
    <w:p w14:paraId="3910B41D" w14:textId="39700816" w:rsidR="00491817" w:rsidRDefault="00491817" w:rsidP="00491817">
      <w:pPr>
        <w:numPr>
          <w:ilvl w:val="1"/>
          <w:numId w:val="1"/>
        </w:numPr>
        <w:spacing w:after="0"/>
      </w:pPr>
      <w:r w:rsidRPr="0087559E">
        <w:t>Strengthen Place Dimension within Sustainable Energy &amp; Climate Action Plans &amp; Green Jobs Focus within Regional Skills Investment Plans</w:t>
      </w:r>
    </w:p>
    <w:p w14:paraId="22C00E7B" w14:textId="00165108" w:rsidR="00B96666" w:rsidRDefault="00EE53B9" w:rsidP="00EE53B9">
      <w:pPr>
        <w:numPr>
          <w:ilvl w:val="1"/>
          <w:numId w:val="1"/>
        </w:numPr>
        <w:spacing w:after="0"/>
      </w:pPr>
      <w:r>
        <w:t>Greater alignment with the ambitions</w:t>
      </w:r>
      <w:r w:rsidR="00B96666">
        <w:t xml:space="preserve"> set out in Circular Economy Scotland</w:t>
      </w:r>
    </w:p>
    <w:p w14:paraId="50DA82E4" w14:textId="77777777" w:rsidR="00491817" w:rsidRDefault="00491817" w:rsidP="00491817"/>
    <w:p w14:paraId="69DC542B" w14:textId="77777777" w:rsidR="00491817" w:rsidRDefault="00491817" w:rsidP="00491817">
      <w:pPr>
        <w:pStyle w:val="Heading2"/>
      </w:pPr>
      <w:r w:rsidRPr="0087559E">
        <w:t xml:space="preserve">Use &amp; co-ordinate procurement strategies to apply the full collective weight of </w:t>
      </w:r>
      <w:r>
        <w:t>the Public Sector</w:t>
      </w:r>
    </w:p>
    <w:p w14:paraId="4495F2AD" w14:textId="77777777" w:rsidR="00491817" w:rsidRPr="0087559E" w:rsidRDefault="00491817" w:rsidP="00491817">
      <w:pPr>
        <w:numPr>
          <w:ilvl w:val="0"/>
          <w:numId w:val="2"/>
        </w:numPr>
        <w:spacing w:after="0"/>
      </w:pPr>
      <w:r w:rsidRPr="0087559E">
        <w:t>Push out existing procurement frameworks further (like those in Scotland Excel, and others that are available) to share information/knowledge, expand use and ensure Community Planning partners can tap in.</w:t>
      </w:r>
    </w:p>
    <w:p w14:paraId="78F366AA" w14:textId="77777777" w:rsidR="002363F9" w:rsidRPr="002363F9" w:rsidRDefault="002363F9" w:rsidP="002363F9">
      <w:pPr>
        <w:numPr>
          <w:ilvl w:val="0"/>
          <w:numId w:val="2"/>
        </w:numPr>
        <w:spacing w:after="0"/>
      </w:pPr>
      <w:r w:rsidRPr="002363F9">
        <w:t>Ethical Procurement and Investment</w:t>
      </w:r>
    </w:p>
    <w:p w14:paraId="2CB6814B" w14:textId="60F56F0D" w:rsidR="002363F9" w:rsidRPr="002363F9" w:rsidRDefault="002363F9" w:rsidP="002363F9">
      <w:pPr>
        <w:numPr>
          <w:ilvl w:val="1"/>
          <w:numId w:val="2"/>
        </w:numPr>
        <w:spacing w:after="0"/>
      </w:pPr>
      <w:r w:rsidRPr="002363F9">
        <w:t xml:space="preserve">Better/more proactive use of </w:t>
      </w:r>
      <w:hyperlink r:id="rId6" w:history="1">
        <w:r w:rsidRPr="00E45ED7">
          <w:rPr>
            <w:rStyle w:val="Hyperlink"/>
          </w:rPr>
          <w:t>Sustainable Procurement Duty</w:t>
        </w:r>
      </w:hyperlink>
    </w:p>
    <w:p w14:paraId="708AE5B2" w14:textId="73E63AE7" w:rsidR="002363F9" w:rsidRPr="002363F9" w:rsidRDefault="002363F9" w:rsidP="002363F9">
      <w:pPr>
        <w:numPr>
          <w:ilvl w:val="1"/>
          <w:numId w:val="2"/>
        </w:numPr>
        <w:spacing w:after="0"/>
      </w:pPr>
      <w:r w:rsidRPr="002363F9">
        <w:t xml:space="preserve">Build on </w:t>
      </w:r>
      <w:hyperlink r:id="rId7" w:history="1">
        <w:r w:rsidRPr="00E45ED7">
          <w:rPr>
            <w:rStyle w:val="Hyperlink"/>
          </w:rPr>
          <w:t>Community Wealth Building</w:t>
        </w:r>
      </w:hyperlink>
      <w:r w:rsidRPr="002363F9">
        <w:t xml:space="preserve"> Agenda</w:t>
      </w:r>
    </w:p>
    <w:p w14:paraId="1B9ADA7F" w14:textId="4B141639" w:rsidR="002363F9" w:rsidRPr="002363F9" w:rsidRDefault="002363F9" w:rsidP="002363F9">
      <w:pPr>
        <w:numPr>
          <w:ilvl w:val="1"/>
          <w:numId w:val="6"/>
        </w:numPr>
        <w:spacing w:after="0"/>
      </w:pPr>
      <w:r w:rsidRPr="00E45ED7">
        <w:t>Anchor’s Progression Framework</w:t>
      </w:r>
    </w:p>
    <w:p w14:paraId="1EBD054B" w14:textId="77777777" w:rsidR="002363F9" w:rsidRPr="002363F9" w:rsidRDefault="002363F9" w:rsidP="002363F9">
      <w:pPr>
        <w:numPr>
          <w:ilvl w:val="1"/>
          <w:numId w:val="6"/>
        </w:numPr>
        <w:spacing w:after="0"/>
      </w:pPr>
      <w:r w:rsidRPr="002363F9">
        <w:t>Progressive procurement pillar for CWB (e.g. Local Supply Chains)</w:t>
      </w:r>
    </w:p>
    <w:p w14:paraId="5480C8D7" w14:textId="77777777" w:rsidR="002363F9" w:rsidRPr="002363F9" w:rsidRDefault="002363F9" w:rsidP="002363F9">
      <w:pPr>
        <w:numPr>
          <w:ilvl w:val="1"/>
          <w:numId w:val="6"/>
        </w:numPr>
        <w:spacing w:after="0"/>
      </w:pPr>
      <w:r w:rsidRPr="002363F9">
        <w:t>CWB Pillar on making financial power work for local places</w:t>
      </w:r>
    </w:p>
    <w:p w14:paraId="6BA5BB97" w14:textId="77777777" w:rsidR="002363F9" w:rsidRPr="002363F9" w:rsidRDefault="002363F9" w:rsidP="002363F9">
      <w:pPr>
        <w:numPr>
          <w:ilvl w:val="1"/>
          <w:numId w:val="6"/>
        </w:numPr>
        <w:spacing w:after="0"/>
      </w:pPr>
      <w:r w:rsidRPr="002363F9">
        <w:t>Guidance for CWB/Wellbeing Economy (</w:t>
      </w:r>
      <w:r w:rsidRPr="002363F9">
        <w:rPr>
          <w:i/>
          <w:iCs/>
        </w:rPr>
        <w:t>Social Justice on a Healthy Planet</w:t>
      </w:r>
      <w:r w:rsidRPr="002363F9">
        <w:t>)</w:t>
      </w:r>
    </w:p>
    <w:p w14:paraId="501A87BD" w14:textId="2CEBB2BA" w:rsidR="002363F9" w:rsidRDefault="002363F9" w:rsidP="002363F9">
      <w:pPr>
        <w:numPr>
          <w:ilvl w:val="1"/>
          <w:numId w:val="6"/>
        </w:numPr>
        <w:spacing w:after="0"/>
      </w:pPr>
      <w:r w:rsidRPr="002363F9">
        <w:t>CWB Bill could seek to focus on local contracting/purchase</w:t>
      </w:r>
    </w:p>
    <w:p w14:paraId="69344BF4" w14:textId="5F2BB8A3" w:rsidR="00B96666" w:rsidRDefault="00B96666" w:rsidP="00B96666">
      <w:pPr>
        <w:pStyle w:val="ListParagraph"/>
        <w:numPr>
          <w:ilvl w:val="1"/>
          <w:numId w:val="2"/>
        </w:numPr>
        <w:spacing w:after="0"/>
      </w:pPr>
      <w:r>
        <w:t>Utilise funds such as SWF to promote positive choices (e.g. higher level of funding on spending which reduces emissions, e.g. buying from local second</w:t>
      </w:r>
      <w:r w:rsidR="0054642C">
        <w:t>-</w:t>
      </w:r>
      <w:r>
        <w:t>hand furniture shops rather than new</w:t>
      </w:r>
    </w:p>
    <w:p w14:paraId="478BB6C1" w14:textId="77777777" w:rsidR="00491817" w:rsidRPr="0087559E" w:rsidRDefault="00491817" w:rsidP="00491817">
      <w:pPr>
        <w:numPr>
          <w:ilvl w:val="0"/>
          <w:numId w:val="2"/>
        </w:numPr>
        <w:spacing w:after="0"/>
      </w:pPr>
      <w:r w:rsidRPr="0087559E">
        <w:t xml:space="preserve">Amend procurement legalities to ensure place-based and community-based approaches are prioritised.  </w:t>
      </w:r>
    </w:p>
    <w:p w14:paraId="55EEF722" w14:textId="77777777" w:rsidR="00491817" w:rsidRPr="0087559E" w:rsidRDefault="00491817" w:rsidP="00491817">
      <w:pPr>
        <w:numPr>
          <w:ilvl w:val="1"/>
          <w:numId w:val="2"/>
        </w:numPr>
        <w:spacing w:after="0"/>
      </w:pPr>
      <w:r w:rsidRPr="0087559E">
        <w:t>Procurement clauses on subcontracting locally/circular economy/additions to community benefit should be built in</w:t>
      </w:r>
    </w:p>
    <w:p w14:paraId="4B8BB834" w14:textId="77777777" w:rsidR="00491817" w:rsidRPr="0087559E" w:rsidRDefault="00491817" w:rsidP="00491817">
      <w:pPr>
        <w:numPr>
          <w:ilvl w:val="1"/>
          <w:numId w:val="2"/>
        </w:numPr>
        <w:spacing w:after="0"/>
      </w:pPr>
      <w:r w:rsidRPr="0087559E">
        <w:lastRenderedPageBreak/>
        <w:t xml:space="preserve">Regulations are necessary given impact of Resource Spending Review. Achieving net zero outcomes is costly, and without action, there will be a drive away from more costly local supply lines.  </w:t>
      </w:r>
    </w:p>
    <w:p w14:paraId="4A268F76" w14:textId="77777777" w:rsidR="00491817" w:rsidRPr="0087559E" w:rsidRDefault="00491817" w:rsidP="00491817">
      <w:pPr>
        <w:numPr>
          <w:ilvl w:val="1"/>
          <w:numId w:val="2"/>
        </w:numPr>
        <w:spacing w:after="0"/>
      </w:pPr>
      <w:r w:rsidRPr="0087559E">
        <w:t xml:space="preserve">We need to invest in the local market so it grows and can compete on more equal basis.  </w:t>
      </w:r>
    </w:p>
    <w:p w14:paraId="445A8346" w14:textId="77777777" w:rsidR="00491817" w:rsidRPr="0087559E" w:rsidRDefault="00491817" w:rsidP="00491817">
      <w:pPr>
        <w:numPr>
          <w:ilvl w:val="1"/>
          <w:numId w:val="2"/>
        </w:numPr>
        <w:spacing w:after="0"/>
      </w:pPr>
      <w:r w:rsidRPr="0087559E">
        <w:t>Reference examples of Scottish Futures Trust metrics (which stipulate local) driving up costs, and projects are subsequently becoming unaffordable</w:t>
      </w:r>
    </w:p>
    <w:p w14:paraId="5F6AF35D" w14:textId="77777777" w:rsidR="00491817" w:rsidRDefault="00491817" w:rsidP="00491817">
      <w:pPr>
        <w:numPr>
          <w:ilvl w:val="0"/>
          <w:numId w:val="2"/>
        </w:numPr>
        <w:spacing w:after="0"/>
      </w:pPr>
      <w:r w:rsidRPr="0087559E">
        <w:t>If we are going to deliver on Climate Change ambitions, a collective understanding is needed that less is going to be delivered.  How this links with the targets that SG have set needs further consideration.</w:t>
      </w:r>
    </w:p>
    <w:p w14:paraId="00C97DE9" w14:textId="713C4DA2" w:rsidR="00EF3507" w:rsidRDefault="00EF3507" w:rsidP="0054642C">
      <w:pPr>
        <w:pStyle w:val="ListParagraph"/>
        <w:numPr>
          <w:ilvl w:val="0"/>
          <w:numId w:val="2"/>
        </w:numPr>
        <w:spacing w:after="0"/>
      </w:pPr>
      <w:r>
        <w:t>Greater use of existing structures:</w:t>
      </w:r>
    </w:p>
    <w:p w14:paraId="0B856183" w14:textId="77777777" w:rsidR="00EF3507" w:rsidRDefault="0054642C" w:rsidP="00EF3507">
      <w:pPr>
        <w:pStyle w:val="ListParagraph"/>
        <w:numPr>
          <w:ilvl w:val="1"/>
          <w:numId w:val="2"/>
        </w:numPr>
        <w:spacing w:after="0"/>
      </w:pPr>
      <w:r>
        <w:t xml:space="preserve">Collective action between Community Planning Partnerships, using purchasing power of all statutory agencies in Scotland to drive meaningful change (e.g. in discussions with Utility Companies). </w:t>
      </w:r>
    </w:p>
    <w:p w14:paraId="69D00072" w14:textId="77777777" w:rsidR="00EF3507" w:rsidRDefault="00EF3507" w:rsidP="00EF3507">
      <w:pPr>
        <w:pStyle w:val="ListParagraph"/>
        <w:numPr>
          <w:ilvl w:val="1"/>
          <w:numId w:val="2"/>
        </w:numPr>
        <w:spacing w:after="0"/>
      </w:pPr>
      <w:r>
        <w:t>There should be greater emphasis on statutory sectors’ role as Anchor Organisations that should and could do more to reduce supply chains to promote local investment</w:t>
      </w:r>
    </w:p>
    <w:p w14:paraId="001E907D" w14:textId="1189AD74" w:rsidR="0054642C" w:rsidRPr="0054642C" w:rsidRDefault="0054642C" w:rsidP="00EF3507">
      <w:pPr>
        <w:pStyle w:val="ListParagraph"/>
        <w:numPr>
          <w:ilvl w:val="1"/>
          <w:numId w:val="2"/>
        </w:numPr>
        <w:spacing w:after="0"/>
      </w:pPr>
      <w:r w:rsidRPr="00EF3507">
        <w:rPr>
          <w:rFonts w:eastAsia="Times New Roman"/>
        </w:rPr>
        <w:t xml:space="preserve">Greater use of City Deal and Growth Deals to ensure not only local supply chains are used but also a climate action ‘benefit’ clause is prioritised, with contractors assessed not only on their community benefit but their climate benefits </w:t>
      </w:r>
    </w:p>
    <w:p w14:paraId="07598F49" w14:textId="77777777" w:rsidR="0054642C" w:rsidRPr="0087559E" w:rsidRDefault="0054642C" w:rsidP="0054642C">
      <w:pPr>
        <w:pStyle w:val="ListParagraph"/>
        <w:spacing w:after="0"/>
        <w:ind w:left="360"/>
      </w:pPr>
    </w:p>
    <w:p w14:paraId="20211CEB" w14:textId="77777777" w:rsidR="002363F9" w:rsidRPr="0087559E" w:rsidRDefault="002363F9" w:rsidP="002363F9">
      <w:pPr>
        <w:pStyle w:val="Heading2"/>
      </w:pPr>
      <w:r w:rsidRPr="0087559E">
        <w:t xml:space="preserve">Prioritisation of the big-ticket areas by understanding and disseminating what the evidence tells us </w:t>
      </w:r>
    </w:p>
    <w:p w14:paraId="315F2FCD" w14:textId="2BB98971" w:rsidR="002363F9" w:rsidRDefault="002363F9" w:rsidP="002363F9">
      <w:pPr>
        <w:numPr>
          <w:ilvl w:val="0"/>
          <w:numId w:val="4"/>
        </w:numPr>
      </w:pPr>
      <w:r w:rsidRPr="0087559E">
        <w:t>Improve our understanding of the governance structures and forums needed to promote wider public sector alignment around Climate priorities/funding streams to maximise opportunities from collaboration and develop strategic partnerships which deliver more value for money</w:t>
      </w:r>
    </w:p>
    <w:p w14:paraId="07DA6FD9" w14:textId="77777777" w:rsidR="002363F9" w:rsidRDefault="002363F9" w:rsidP="002363F9">
      <w:pPr>
        <w:ind w:left="720"/>
      </w:pPr>
    </w:p>
    <w:p w14:paraId="1BE1B29E" w14:textId="77777777" w:rsidR="00491817" w:rsidRPr="0087559E" w:rsidRDefault="00491817" w:rsidP="00491817">
      <w:pPr>
        <w:pStyle w:val="Heading2"/>
      </w:pPr>
      <w:r w:rsidRPr="0087559E">
        <w:t>Sustainable funding for the Third Sector.</w:t>
      </w:r>
    </w:p>
    <w:p w14:paraId="3C8E18BD" w14:textId="77777777" w:rsidR="00491817" w:rsidRPr="0087559E" w:rsidRDefault="00491817" w:rsidP="00491817">
      <w:pPr>
        <w:numPr>
          <w:ilvl w:val="0"/>
          <w:numId w:val="3"/>
        </w:numPr>
      </w:pPr>
      <w:r w:rsidRPr="0087559E">
        <w:t xml:space="preserve">Is there a model in the Dundee Climate fund – </w:t>
      </w:r>
      <w:r w:rsidRPr="0087559E">
        <w:rPr>
          <w:b/>
          <w:bCs/>
          <w:i/>
          <w:iCs/>
        </w:rPr>
        <w:t xml:space="preserve">Delivering Community Choices through Participatory Budgeting </w:t>
      </w:r>
      <w:r w:rsidRPr="0087559E">
        <w:t>we</w:t>
      </w:r>
      <w:r w:rsidRPr="0087559E">
        <w:rPr>
          <w:b/>
          <w:bCs/>
          <w:i/>
          <w:iCs/>
        </w:rPr>
        <w:t xml:space="preserve"> </w:t>
      </w:r>
      <w:r w:rsidRPr="0087559E">
        <w:t>could use to encourage more to adopt?</w:t>
      </w:r>
    </w:p>
    <w:p w14:paraId="3257CD1F" w14:textId="727F9593" w:rsidR="00491817" w:rsidRDefault="00491817" w:rsidP="00491817">
      <w:pPr>
        <w:numPr>
          <w:ilvl w:val="0"/>
          <w:numId w:val="3"/>
        </w:numPr>
      </w:pPr>
      <w:r w:rsidRPr="0087559E">
        <w:t xml:space="preserve">What more could Community Planning and Government do to support third sector </w:t>
      </w:r>
      <w:r>
        <w:t xml:space="preserve">and </w:t>
      </w:r>
      <w:r w:rsidRPr="0087559E">
        <w:t>community organisations</w:t>
      </w:r>
      <w:r w:rsidR="0054642C">
        <w:t>, and ensure sustainable funding is available</w:t>
      </w:r>
      <w:r w:rsidRPr="0087559E">
        <w:t>?</w:t>
      </w:r>
    </w:p>
    <w:p w14:paraId="6D64FC85" w14:textId="77777777" w:rsidR="00491817" w:rsidRDefault="00491817" w:rsidP="00491817"/>
    <w:p w14:paraId="27239E33" w14:textId="77777777" w:rsidR="002363F9" w:rsidRDefault="002363F9" w:rsidP="00491817">
      <w:pPr>
        <w:ind w:left="720"/>
        <w:sectPr w:rsidR="002363F9" w:rsidSect="00491817">
          <w:pgSz w:w="11906" w:h="16838"/>
          <w:pgMar w:top="964" w:right="964" w:bottom="964" w:left="964" w:header="709" w:footer="709" w:gutter="0"/>
          <w:cols w:space="708"/>
          <w:docGrid w:linePitch="360"/>
        </w:sectPr>
      </w:pPr>
    </w:p>
    <w:p w14:paraId="42DBB99A" w14:textId="280A1DBD" w:rsidR="00491817" w:rsidRDefault="00491817" w:rsidP="00491817">
      <w:pPr>
        <w:ind w:left="720"/>
      </w:pPr>
    </w:p>
    <w:tbl>
      <w:tblPr>
        <w:tblStyle w:val="TableGrid"/>
        <w:tblW w:w="9918" w:type="dxa"/>
        <w:tblInd w:w="0" w:type="dxa"/>
        <w:tblLook w:val="04A0" w:firstRow="1" w:lastRow="0" w:firstColumn="1" w:lastColumn="0" w:noHBand="0" w:noVBand="1"/>
      </w:tblPr>
      <w:tblGrid>
        <w:gridCol w:w="1392"/>
        <w:gridCol w:w="3349"/>
        <w:gridCol w:w="5177"/>
      </w:tblGrid>
      <w:tr w:rsidR="00491817" w:rsidRPr="00CF0CCE" w14:paraId="0DED74AB" w14:textId="77777777" w:rsidTr="00613D73">
        <w:tc>
          <w:tcPr>
            <w:tcW w:w="9918" w:type="dxa"/>
            <w:gridSpan w:val="3"/>
            <w:shd w:val="clear" w:color="auto" w:fill="FFFFFF" w:themeFill="background1"/>
          </w:tcPr>
          <w:p w14:paraId="7D14C276" w14:textId="77777777" w:rsidR="00491817" w:rsidRDefault="00491817" w:rsidP="00613D73">
            <w:pPr>
              <w:pStyle w:val="Heading1"/>
              <w:outlineLvl w:val="0"/>
            </w:pPr>
            <w:r>
              <w:t>APPENDIX</w:t>
            </w:r>
          </w:p>
          <w:p w14:paraId="03E989CA" w14:textId="1BEA0D81" w:rsidR="00491817" w:rsidRDefault="00491817" w:rsidP="00613D73">
            <w:pPr>
              <w:pStyle w:val="Heading1"/>
              <w:outlineLvl w:val="0"/>
            </w:pPr>
            <w:r>
              <w:t xml:space="preserve">SLWG Climate change – Evidence and material considered </w:t>
            </w:r>
          </w:p>
          <w:p w14:paraId="3157BCA9" w14:textId="77777777" w:rsidR="00491817" w:rsidRPr="00CF0CCE" w:rsidRDefault="00491817" w:rsidP="00613D73"/>
        </w:tc>
      </w:tr>
      <w:tr w:rsidR="00491817" w14:paraId="5C281B3F" w14:textId="77777777" w:rsidTr="00613D73">
        <w:tc>
          <w:tcPr>
            <w:tcW w:w="1392" w:type="dxa"/>
            <w:vMerge w:val="restart"/>
            <w:shd w:val="clear" w:color="auto" w:fill="E2EFD9" w:themeFill="accent6" w:themeFillTint="33"/>
          </w:tcPr>
          <w:p w14:paraId="69A16C5B" w14:textId="77777777" w:rsidR="00491817" w:rsidRDefault="00491817" w:rsidP="00613D73">
            <w:r>
              <w:t>Funding</w:t>
            </w:r>
          </w:p>
        </w:tc>
        <w:tc>
          <w:tcPr>
            <w:tcW w:w="3349" w:type="dxa"/>
          </w:tcPr>
          <w:p w14:paraId="70C6CDA6" w14:textId="77777777" w:rsidR="00491817" w:rsidRDefault="00491817" w:rsidP="00613D73">
            <w:r>
              <w:t>Dundee mapping of Climate funding streams</w:t>
            </w:r>
          </w:p>
        </w:tc>
        <w:tc>
          <w:tcPr>
            <w:tcW w:w="5177" w:type="dxa"/>
          </w:tcPr>
          <w:p w14:paraId="15CC5D68" w14:textId="77777777" w:rsidR="00491817" w:rsidRDefault="00491817" w:rsidP="00613D73">
            <w:r>
              <w:object w:dxaOrig="1534" w:dyaOrig="997" w14:anchorId="4A107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v:imagedata r:id="rId8" o:title=""/>
                </v:shape>
                <o:OLEObject Type="Embed" ProgID="Excel.Sheet.12" ShapeID="_x0000_i1025" DrawAspect="Icon" ObjectID="_1729428812" r:id="rId9"/>
              </w:object>
            </w:r>
          </w:p>
        </w:tc>
      </w:tr>
      <w:tr w:rsidR="00491817" w14:paraId="3108B8DD" w14:textId="77777777" w:rsidTr="00613D73">
        <w:tc>
          <w:tcPr>
            <w:tcW w:w="1392" w:type="dxa"/>
            <w:vMerge/>
            <w:shd w:val="clear" w:color="auto" w:fill="E2EFD9" w:themeFill="accent6" w:themeFillTint="33"/>
          </w:tcPr>
          <w:p w14:paraId="09AA3022" w14:textId="77777777" w:rsidR="00491817" w:rsidRDefault="00491817" w:rsidP="00613D73"/>
        </w:tc>
        <w:tc>
          <w:tcPr>
            <w:tcW w:w="3349" w:type="dxa"/>
          </w:tcPr>
          <w:p w14:paraId="61053F92" w14:textId="77777777" w:rsidR="00491817" w:rsidRDefault="00491817" w:rsidP="00613D73">
            <w:r>
              <w:t>SDS mapping of funding and investment in enterprise and skills</w:t>
            </w:r>
          </w:p>
        </w:tc>
        <w:tc>
          <w:tcPr>
            <w:tcW w:w="5177" w:type="dxa"/>
          </w:tcPr>
          <w:p w14:paraId="2164BF39" w14:textId="77777777" w:rsidR="00491817" w:rsidRDefault="00491817" w:rsidP="00613D73">
            <w:r>
              <w:object w:dxaOrig="1534" w:dyaOrig="997" w14:anchorId="7545ACC6">
                <v:shape id="_x0000_i1026" type="#_x0000_t75" style="width:76.2pt;height:49.4pt" o:ole="">
                  <v:imagedata r:id="rId10" o:title=""/>
                </v:shape>
                <o:OLEObject Type="Embed" ProgID="PowerPoint.Show.12" ShapeID="_x0000_i1026" DrawAspect="Icon" ObjectID="_1729428813" r:id="rId11"/>
              </w:object>
            </w:r>
          </w:p>
        </w:tc>
      </w:tr>
      <w:tr w:rsidR="00491817" w14:paraId="7523A7AB" w14:textId="77777777" w:rsidTr="00613D73">
        <w:tc>
          <w:tcPr>
            <w:tcW w:w="1392" w:type="dxa"/>
            <w:vMerge/>
            <w:shd w:val="clear" w:color="auto" w:fill="E2EFD9" w:themeFill="accent6" w:themeFillTint="33"/>
          </w:tcPr>
          <w:p w14:paraId="36A8B0E1" w14:textId="77777777" w:rsidR="00491817" w:rsidRDefault="00491817" w:rsidP="00613D73"/>
        </w:tc>
        <w:tc>
          <w:tcPr>
            <w:tcW w:w="3349" w:type="dxa"/>
          </w:tcPr>
          <w:p w14:paraId="0096833B" w14:textId="77777777" w:rsidR="00491817" w:rsidRDefault="00491817" w:rsidP="00613D73">
            <w:r>
              <w:t>Scottish Enterprise feedback on Business Support Partnership</w:t>
            </w:r>
          </w:p>
        </w:tc>
        <w:bookmarkStart w:id="1" w:name="_MON_1721127720"/>
        <w:bookmarkEnd w:id="1"/>
        <w:tc>
          <w:tcPr>
            <w:tcW w:w="5177" w:type="dxa"/>
          </w:tcPr>
          <w:p w14:paraId="29351998" w14:textId="77777777" w:rsidR="00491817" w:rsidRDefault="00491817" w:rsidP="00613D73">
            <w:r>
              <w:object w:dxaOrig="1534" w:dyaOrig="997" w14:anchorId="0D020EE2">
                <v:shape id="_x0000_i1027" type="#_x0000_t75" style="width:76.2pt;height:49.4pt" o:ole="">
                  <v:imagedata r:id="rId12" o:title=""/>
                </v:shape>
                <o:OLEObject Type="Embed" ProgID="Word.Document.12" ShapeID="_x0000_i1027" DrawAspect="Icon" ObjectID="_1729428814" r:id="rId13">
                  <o:FieldCodes>\s</o:FieldCodes>
                </o:OLEObject>
              </w:object>
            </w:r>
          </w:p>
        </w:tc>
      </w:tr>
      <w:tr w:rsidR="00491817" w14:paraId="4AE29F09" w14:textId="77777777" w:rsidTr="00613D73">
        <w:tc>
          <w:tcPr>
            <w:tcW w:w="1392" w:type="dxa"/>
            <w:vMerge/>
            <w:shd w:val="clear" w:color="auto" w:fill="E2EFD9" w:themeFill="accent6" w:themeFillTint="33"/>
          </w:tcPr>
          <w:p w14:paraId="73E45373" w14:textId="77777777" w:rsidR="00491817" w:rsidRDefault="00491817" w:rsidP="00613D73"/>
        </w:tc>
        <w:tc>
          <w:tcPr>
            <w:tcW w:w="3349" w:type="dxa"/>
          </w:tcPr>
          <w:p w14:paraId="196262D5" w14:textId="77777777" w:rsidR="00491817" w:rsidRDefault="00491817" w:rsidP="00613D73">
            <w:r>
              <w:t>SFRS Climate Funding</w:t>
            </w:r>
          </w:p>
        </w:tc>
        <w:bookmarkStart w:id="2" w:name="_MON_1721127922"/>
        <w:bookmarkEnd w:id="2"/>
        <w:tc>
          <w:tcPr>
            <w:tcW w:w="5177" w:type="dxa"/>
          </w:tcPr>
          <w:p w14:paraId="6E764930" w14:textId="77777777" w:rsidR="00491817" w:rsidRDefault="00491817" w:rsidP="00613D73">
            <w:r>
              <w:object w:dxaOrig="1534" w:dyaOrig="997" w14:anchorId="2301BDC2">
                <v:shape id="_x0000_i1028" type="#_x0000_t75" style="width:76.2pt;height:49.4pt" o:ole="">
                  <v:imagedata r:id="rId14" o:title=""/>
                </v:shape>
                <o:OLEObject Type="Embed" ProgID="Word.Document.12" ShapeID="_x0000_i1028" DrawAspect="Icon" ObjectID="_1729428815" r:id="rId15">
                  <o:FieldCodes>\s</o:FieldCodes>
                </o:OLEObject>
              </w:object>
            </w:r>
          </w:p>
        </w:tc>
      </w:tr>
      <w:tr w:rsidR="00491817" w14:paraId="59842518" w14:textId="77777777" w:rsidTr="00613D73">
        <w:tc>
          <w:tcPr>
            <w:tcW w:w="1392" w:type="dxa"/>
            <w:vMerge/>
            <w:shd w:val="clear" w:color="auto" w:fill="E2EFD9" w:themeFill="accent6" w:themeFillTint="33"/>
          </w:tcPr>
          <w:p w14:paraId="72FC0BFC" w14:textId="77777777" w:rsidR="00491817" w:rsidRDefault="00491817" w:rsidP="00613D73"/>
        </w:tc>
        <w:tc>
          <w:tcPr>
            <w:tcW w:w="3349" w:type="dxa"/>
          </w:tcPr>
          <w:p w14:paraId="4A64BC15" w14:textId="77777777" w:rsidR="00491817" w:rsidRDefault="00491817" w:rsidP="00613D73">
            <w:r>
              <w:t>SFRS Case Study – Carbon Offsetting</w:t>
            </w:r>
          </w:p>
        </w:tc>
        <w:bookmarkStart w:id="3" w:name="_MON_1721128065"/>
        <w:bookmarkEnd w:id="3"/>
        <w:tc>
          <w:tcPr>
            <w:tcW w:w="5177" w:type="dxa"/>
          </w:tcPr>
          <w:p w14:paraId="15903D16" w14:textId="77777777" w:rsidR="00491817" w:rsidRDefault="00491817" w:rsidP="00613D73">
            <w:r>
              <w:object w:dxaOrig="1534" w:dyaOrig="997" w14:anchorId="14D98429">
                <v:shape id="_x0000_i1029" type="#_x0000_t75" style="width:76.2pt;height:49.4pt" o:ole="">
                  <v:imagedata r:id="rId16" o:title=""/>
                </v:shape>
                <o:OLEObject Type="Embed" ProgID="Word.Document.12" ShapeID="_x0000_i1029" DrawAspect="Icon" ObjectID="_1729428816" r:id="rId17">
                  <o:FieldCodes>\s</o:FieldCodes>
                </o:OLEObject>
              </w:object>
            </w:r>
          </w:p>
        </w:tc>
      </w:tr>
      <w:tr w:rsidR="00491817" w14:paraId="57A04E03" w14:textId="77777777" w:rsidTr="00613D73">
        <w:tc>
          <w:tcPr>
            <w:tcW w:w="9918" w:type="dxa"/>
            <w:gridSpan w:val="3"/>
          </w:tcPr>
          <w:p w14:paraId="3D8FFB16" w14:textId="77777777" w:rsidR="00491817" w:rsidRDefault="00491817" w:rsidP="00613D73"/>
        </w:tc>
      </w:tr>
      <w:tr w:rsidR="00491817" w14:paraId="5D3265E0" w14:textId="77777777" w:rsidTr="00613D73">
        <w:tc>
          <w:tcPr>
            <w:tcW w:w="1392" w:type="dxa"/>
            <w:vMerge w:val="restart"/>
            <w:shd w:val="clear" w:color="auto" w:fill="FFF2CC" w:themeFill="accent4" w:themeFillTint="33"/>
          </w:tcPr>
          <w:p w14:paraId="3BDDACD2" w14:textId="77777777" w:rsidR="00491817" w:rsidRDefault="00491817" w:rsidP="00613D73">
            <w:r>
              <w:t>Procurement</w:t>
            </w:r>
          </w:p>
          <w:p w14:paraId="423BC510" w14:textId="77777777" w:rsidR="00491817" w:rsidRDefault="00491817" w:rsidP="00613D73"/>
          <w:p w14:paraId="0A03C950" w14:textId="77777777" w:rsidR="00491817" w:rsidRDefault="00491817" w:rsidP="00613D73"/>
          <w:p w14:paraId="4E4EB503" w14:textId="77777777" w:rsidR="00491817" w:rsidRPr="00CF0CCE" w:rsidRDefault="00491817" w:rsidP="00613D73">
            <w:pPr>
              <w:jc w:val="center"/>
            </w:pPr>
          </w:p>
        </w:tc>
        <w:tc>
          <w:tcPr>
            <w:tcW w:w="3349" w:type="dxa"/>
          </w:tcPr>
          <w:p w14:paraId="3C8321B6" w14:textId="77777777" w:rsidR="00491817" w:rsidRDefault="00491817" w:rsidP="00613D73">
            <w:r>
              <w:t xml:space="preserve">Scotland Excel Support for Climate Change &amp; Sustainability </w:t>
            </w:r>
          </w:p>
        </w:tc>
        <w:bookmarkStart w:id="4" w:name="_MON_1721127322"/>
        <w:bookmarkEnd w:id="4"/>
        <w:tc>
          <w:tcPr>
            <w:tcW w:w="5177" w:type="dxa"/>
          </w:tcPr>
          <w:p w14:paraId="0DB112FF" w14:textId="77777777" w:rsidR="00491817" w:rsidRDefault="00491817" w:rsidP="00613D73">
            <w:r>
              <w:object w:dxaOrig="1534" w:dyaOrig="997" w14:anchorId="77AFD3B6">
                <v:shape id="_x0000_i1030" type="#_x0000_t75" style="width:76.2pt;height:49.4pt" o:ole="">
                  <v:imagedata r:id="rId18" o:title=""/>
                </v:shape>
                <o:OLEObject Type="Embed" ProgID="Word.Document.12" ShapeID="_x0000_i1030" DrawAspect="Icon" ObjectID="_1729428817" r:id="rId19">
                  <o:FieldCodes>\s</o:FieldCodes>
                </o:OLEObject>
              </w:object>
            </w:r>
          </w:p>
        </w:tc>
      </w:tr>
      <w:tr w:rsidR="00491817" w14:paraId="61FFCD22" w14:textId="77777777" w:rsidTr="00613D73">
        <w:tc>
          <w:tcPr>
            <w:tcW w:w="1392" w:type="dxa"/>
            <w:vMerge/>
            <w:shd w:val="clear" w:color="auto" w:fill="FFF2CC" w:themeFill="accent4" w:themeFillTint="33"/>
          </w:tcPr>
          <w:p w14:paraId="717B26C7" w14:textId="77777777" w:rsidR="00491817" w:rsidRDefault="00491817" w:rsidP="00613D73"/>
        </w:tc>
        <w:tc>
          <w:tcPr>
            <w:tcW w:w="3349" w:type="dxa"/>
          </w:tcPr>
          <w:p w14:paraId="1C8B896B" w14:textId="77777777" w:rsidR="00491817" w:rsidRDefault="00491817" w:rsidP="00613D73">
            <w:r>
              <w:t>Scotland Excel Analysis of Local Net Zero strategies</w:t>
            </w:r>
          </w:p>
        </w:tc>
        <w:tc>
          <w:tcPr>
            <w:tcW w:w="5177" w:type="dxa"/>
          </w:tcPr>
          <w:p w14:paraId="3023A1B8" w14:textId="77777777" w:rsidR="00491817" w:rsidRDefault="00491817" w:rsidP="00613D73">
            <w:r>
              <w:object w:dxaOrig="1534" w:dyaOrig="997" w14:anchorId="2F59DD83">
                <v:shape id="_x0000_i1031" type="#_x0000_t75" style="width:76.2pt;height:49.4pt" o:ole="">
                  <v:imagedata r:id="rId20" o:title=""/>
                </v:shape>
                <o:OLEObject Type="Embed" ProgID="AcroExch.Document.DC" ShapeID="_x0000_i1031" DrawAspect="Icon" ObjectID="_1729428818" r:id="rId21"/>
              </w:object>
            </w:r>
          </w:p>
        </w:tc>
      </w:tr>
      <w:tr w:rsidR="00491817" w14:paraId="3146F7FC" w14:textId="77777777" w:rsidTr="00613D73">
        <w:tc>
          <w:tcPr>
            <w:tcW w:w="1392" w:type="dxa"/>
            <w:vMerge/>
            <w:shd w:val="clear" w:color="auto" w:fill="FFF2CC" w:themeFill="accent4" w:themeFillTint="33"/>
          </w:tcPr>
          <w:p w14:paraId="2D6D8185" w14:textId="77777777" w:rsidR="00491817" w:rsidRDefault="00491817" w:rsidP="00613D73"/>
        </w:tc>
        <w:tc>
          <w:tcPr>
            <w:tcW w:w="3349" w:type="dxa"/>
          </w:tcPr>
          <w:p w14:paraId="5D0EA1EF" w14:textId="77777777" w:rsidR="00491817" w:rsidRDefault="00491817" w:rsidP="00613D73">
            <w:r>
              <w:t>SFRS Procurement</w:t>
            </w:r>
          </w:p>
        </w:tc>
        <w:bookmarkStart w:id="5" w:name="_MON_1721128093"/>
        <w:bookmarkEnd w:id="5"/>
        <w:tc>
          <w:tcPr>
            <w:tcW w:w="5177" w:type="dxa"/>
          </w:tcPr>
          <w:p w14:paraId="156726C4" w14:textId="77777777" w:rsidR="00491817" w:rsidRDefault="00491817" w:rsidP="00613D73">
            <w:r>
              <w:object w:dxaOrig="1534" w:dyaOrig="997" w14:anchorId="2593AFC0">
                <v:shape id="_x0000_i1032" type="#_x0000_t75" style="width:76.2pt;height:49.4pt" o:ole="">
                  <v:imagedata r:id="rId22" o:title=""/>
                </v:shape>
                <o:OLEObject Type="Embed" ProgID="Word.Document.12" ShapeID="_x0000_i1032" DrawAspect="Icon" ObjectID="_1729428819" r:id="rId23">
                  <o:FieldCodes>\s</o:FieldCodes>
                </o:OLEObject>
              </w:object>
            </w:r>
          </w:p>
        </w:tc>
      </w:tr>
      <w:tr w:rsidR="00491817" w14:paraId="29BD6283" w14:textId="77777777" w:rsidTr="00613D73">
        <w:tc>
          <w:tcPr>
            <w:tcW w:w="1392" w:type="dxa"/>
          </w:tcPr>
          <w:p w14:paraId="0AA43CAA" w14:textId="77777777" w:rsidR="00491817" w:rsidRDefault="00491817" w:rsidP="00613D73"/>
        </w:tc>
        <w:tc>
          <w:tcPr>
            <w:tcW w:w="3349" w:type="dxa"/>
          </w:tcPr>
          <w:p w14:paraId="59B80F7C" w14:textId="77777777" w:rsidR="00491817" w:rsidRDefault="00491817" w:rsidP="00613D73"/>
        </w:tc>
        <w:tc>
          <w:tcPr>
            <w:tcW w:w="5177" w:type="dxa"/>
          </w:tcPr>
          <w:p w14:paraId="0536FE10" w14:textId="77777777" w:rsidR="00491817" w:rsidRDefault="00491817" w:rsidP="00613D73"/>
        </w:tc>
      </w:tr>
      <w:tr w:rsidR="00491817" w14:paraId="008A0D0F" w14:textId="77777777" w:rsidTr="00613D73">
        <w:tc>
          <w:tcPr>
            <w:tcW w:w="1392" w:type="dxa"/>
            <w:shd w:val="clear" w:color="auto" w:fill="D9E2F3" w:themeFill="accent1" w:themeFillTint="33"/>
          </w:tcPr>
          <w:p w14:paraId="617905FE" w14:textId="564606C3" w:rsidR="00491817" w:rsidRDefault="00580B1E" w:rsidP="00613D73">
            <w:r>
              <w:t>Sustainable Funding for the 3</w:t>
            </w:r>
            <w:r w:rsidRPr="00580B1E">
              <w:rPr>
                <w:vertAlign w:val="superscript"/>
              </w:rPr>
              <w:t>rd</w:t>
            </w:r>
            <w:r>
              <w:t xml:space="preserve"> Sector</w:t>
            </w:r>
          </w:p>
        </w:tc>
        <w:tc>
          <w:tcPr>
            <w:tcW w:w="3349" w:type="dxa"/>
          </w:tcPr>
          <w:p w14:paraId="7AE7C945" w14:textId="77777777" w:rsidR="00491817" w:rsidRDefault="00491817" w:rsidP="00613D73">
            <w:r>
              <w:t xml:space="preserve">Dundee City Council </w:t>
            </w:r>
          </w:p>
        </w:tc>
        <w:tc>
          <w:tcPr>
            <w:tcW w:w="5177" w:type="dxa"/>
          </w:tcPr>
          <w:p w14:paraId="292160C4" w14:textId="120D6C8D" w:rsidR="00491817" w:rsidRDefault="002363F9" w:rsidP="00613D73">
            <w:r>
              <w:object w:dxaOrig="1534" w:dyaOrig="997" w14:anchorId="2DCA2554">
                <v:shape id="_x0000_i1033" type="#_x0000_t75" style="width:76.2pt;height:49.4pt" o:ole="">
                  <v:imagedata r:id="rId24" o:title=""/>
                </v:shape>
                <o:OLEObject Type="Embed" ProgID="AcroExch.Document.DC" ShapeID="_x0000_i1033" DrawAspect="Icon" ObjectID="_1729428820" r:id="rId25"/>
              </w:object>
            </w:r>
          </w:p>
        </w:tc>
      </w:tr>
      <w:tr w:rsidR="00491817" w14:paraId="2D375EDB" w14:textId="77777777" w:rsidTr="00613D73">
        <w:tc>
          <w:tcPr>
            <w:tcW w:w="1392" w:type="dxa"/>
          </w:tcPr>
          <w:p w14:paraId="4B23A15C" w14:textId="77777777" w:rsidR="00491817" w:rsidRDefault="00491817" w:rsidP="00613D73"/>
        </w:tc>
        <w:tc>
          <w:tcPr>
            <w:tcW w:w="3349" w:type="dxa"/>
          </w:tcPr>
          <w:p w14:paraId="30F22702" w14:textId="77777777" w:rsidR="00491817" w:rsidRDefault="00491817" w:rsidP="00613D73"/>
        </w:tc>
        <w:tc>
          <w:tcPr>
            <w:tcW w:w="5177" w:type="dxa"/>
          </w:tcPr>
          <w:p w14:paraId="54CF3BD6" w14:textId="77777777" w:rsidR="00491817" w:rsidRDefault="00491817" w:rsidP="00613D73"/>
        </w:tc>
      </w:tr>
      <w:tr w:rsidR="00491817" w14:paraId="5EE72960" w14:textId="77777777" w:rsidTr="00613D73">
        <w:tc>
          <w:tcPr>
            <w:tcW w:w="1392" w:type="dxa"/>
            <w:shd w:val="clear" w:color="auto" w:fill="FBE4D5" w:themeFill="accent2" w:themeFillTint="33"/>
          </w:tcPr>
          <w:p w14:paraId="403EB06E" w14:textId="77777777" w:rsidR="00491817" w:rsidRDefault="00491817" w:rsidP="00613D73">
            <w:r>
              <w:t>Prioritisation</w:t>
            </w:r>
          </w:p>
        </w:tc>
        <w:tc>
          <w:tcPr>
            <w:tcW w:w="3349" w:type="dxa"/>
          </w:tcPr>
          <w:p w14:paraId="400340A1" w14:textId="77777777" w:rsidR="00491817" w:rsidRDefault="00491817" w:rsidP="00613D73">
            <w:r>
              <w:t>SDS Research into Big Ticket Skills Issues, Responses &amp; the way forward (slides 4-6)</w:t>
            </w:r>
          </w:p>
        </w:tc>
        <w:tc>
          <w:tcPr>
            <w:tcW w:w="5177" w:type="dxa"/>
          </w:tcPr>
          <w:p w14:paraId="57D34411" w14:textId="77777777" w:rsidR="00491817" w:rsidRDefault="00491817" w:rsidP="00613D73">
            <w:r>
              <w:object w:dxaOrig="1534" w:dyaOrig="997" w14:anchorId="3F06D36B">
                <v:shape id="_x0000_i1034" type="#_x0000_t75" style="width:76.2pt;height:49.4pt" o:ole="">
                  <v:imagedata r:id="rId26" o:title=""/>
                </v:shape>
                <o:OLEObject Type="Embed" ProgID="PowerPoint.Show.12" ShapeID="_x0000_i1034" DrawAspect="Icon" ObjectID="_1729428821" r:id="rId27"/>
              </w:object>
            </w:r>
          </w:p>
        </w:tc>
      </w:tr>
    </w:tbl>
    <w:p w14:paraId="5583857B" w14:textId="77777777" w:rsidR="00CA5F3C" w:rsidRDefault="00CA5F3C"/>
    <w:sectPr w:rsidR="00CA5F3C" w:rsidSect="00491817">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40A"/>
    <w:multiLevelType w:val="hybridMultilevel"/>
    <w:tmpl w:val="033C5290"/>
    <w:lvl w:ilvl="0" w:tplc="BE3CA120">
      <w:start w:val="1"/>
      <w:numFmt w:val="decimal"/>
      <w:lvlText w:val="%1."/>
      <w:lvlJc w:val="left"/>
      <w:pPr>
        <w:tabs>
          <w:tab w:val="num" w:pos="720"/>
        </w:tabs>
        <w:ind w:left="720" w:hanging="360"/>
      </w:pPr>
      <w:rPr>
        <w:rFonts w:hint="default"/>
      </w:rPr>
    </w:lvl>
    <w:lvl w:ilvl="1" w:tplc="D1C87094">
      <w:numFmt w:val="none"/>
      <w:lvlText w:val=""/>
      <w:lvlJc w:val="left"/>
      <w:pPr>
        <w:tabs>
          <w:tab w:val="num" w:pos="360"/>
        </w:tabs>
      </w:pPr>
    </w:lvl>
    <w:lvl w:ilvl="2" w:tplc="6262DCF0" w:tentative="1">
      <w:start w:val="1"/>
      <w:numFmt w:val="bullet"/>
      <w:lvlText w:val="•"/>
      <w:lvlJc w:val="left"/>
      <w:pPr>
        <w:tabs>
          <w:tab w:val="num" w:pos="2160"/>
        </w:tabs>
        <w:ind w:left="2160" w:hanging="360"/>
      </w:pPr>
      <w:rPr>
        <w:rFonts w:ascii="Arial" w:hAnsi="Arial" w:hint="default"/>
      </w:rPr>
    </w:lvl>
    <w:lvl w:ilvl="3" w:tplc="83BA1B2A" w:tentative="1">
      <w:start w:val="1"/>
      <w:numFmt w:val="bullet"/>
      <w:lvlText w:val="•"/>
      <w:lvlJc w:val="left"/>
      <w:pPr>
        <w:tabs>
          <w:tab w:val="num" w:pos="2880"/>
        </w:tabs>
        <w:ind w:left="2880" w:hanging="360"/>
      </w:pPr>
      <w:rPr>
        <w:rFonts w:ascii="Arial" w:hAnsi="Arial" w:hint="default"/>
      </w:rPr>
    </w:lvl>
    <w:lvl w:ilvl="4" w:tplc="A04C0B3E" w:tentative="1">
      <w:start w:val="1"/>
      <w:numFmt w:val="bullet"/>
      <w:lvlText w:val="•"/>
      <w:lvlJc w:val="left"/>
      <w:pPr>
        <w:tabs>
          <w:tab w:val="num" w:pos="3600"/>
        </w:tabs>
        <w:ind w:left="3600" w:hanging="360"/>
      </w:pPr>
      <w:rPr>
        <w:rFonts w:ascii="Arial" w:hAnsi="Arial" w:hint="default"/>
      </w:rPr>
    </w:lvl>
    <w:lvl w:ilvl="5" w:tplc="CDD86332" w:tentative="1">
      <w:start w:val="1"/>
      <w:numFmt w:val="bullet"/>
      <w:lvlText w:val="•"/>
      <w:lvlJc w:val="left"/>
      <w:pPr>
        <w:tabs>
          <w:tab w:val="num" w:pos="4320"/>
        </w:tabs>
        <w:ind w:left="4320" w:hanging="360"/>
      </w:pPr>
      <w:rPr>
        <w:rFonts w:ascii="Arial" w:hAnsi="Arial" w:hint="default"/>
      </w:rPr>
    </w:lvl>
    <w:lvl w:ilvl="6" w:tplc="C9AEC2EA" w:tentative="1">
      <w:start w:val="1"/>
      <w:numFmt w:val="bullet"/>
      <w:lvlText w:val="•"/>
      <w:lvlJc w:val="left"/>
      <w:pPr>
        <w:tabs>
          <w:tab w:val="num" w:pos="5040"/>
        </w:tabs>
        <w:ind w:left="5040" w:hanging="360"/>
      </w:pPr>
      <w:rPr>
        <w:rFonts w:ascii="Arial" w:hAnsi="Arial" w:hint="default"/>
      </w:rPr>
    </w:lvl>
    <w:lvl w:ilvl="7" w:tplc="FFA06AD8" w:tentative="1">
      <w:start w:val="1"/>
      <w:numFmt w:val="bullet"/>
      <w:lvlText w:val="•"/>
      <w:lvlJc w:val="left"/>
      <w:pPr>
        <w:tabs>
          <w:tab w:val="num" w:pos="5760"/>
        </w:tabs>
        <w:ind w:left="5760" w:hanging="360"/>
      </w:pPr>
      <w:rPr>
        <w:rFonts w:ascii="Arial" w:hAnsi="Arial" w:hint="default"/>
      </w:rPr>
    </w:lvl>
    <w:lvl w:ilvl="8" w:tplc="496656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E2361"/>
    <w:multiLevelType w:val="hybridMultilevel"/>
    <w:tmpl w:val="F2A8B7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462D14"/>
    <w:multiLevelType w:val="hybridMultilevel"/>
    <w:tmpl w:val="134242C0"/>
    <w:lvl w:ilvl="0" w:tplc="0809000F">
      <w:start w:val="1"/>
      <w:numFmt w:val="decimal"/>
      <w:lvlText w:val="%1."/>
      <w:lvlJc w:val="left"/>
      <w:pPr>
        <w:tabs>
          <w:tab w:val="num" w:pos="720"/>
        </w:tabs>
        <w:ind w:left="720" w:hanging="360"/>
      </w:pPr>
      <w:rPr>
        <w:rFonts w:hint="default"/>
      </w:rPr>
    </w:lvl>
    <w:lvl w:ilvl="1" w:tplc="1658ADFC" w:tentative="1">
      <w:start w:val="1"/>
      <w:numFmt w:val="bullet"/>
      <w:lvlText w:val="•"/>
      <w:lvlJc w:val="left"/>
      <w:pPr>
        <w:tabs>
          <w:tab w:val="num" w:pos="1440"/>
        </w:tabs>
        <w:ind w:left="1440" w:hanging="360"/>
      </w:pPr>
      <w:rPr>
        <w:rFonts w:ascii="Arial" w:hAnsi="Arial" w:hint="default"/>
      </w:rPr>
    </w:lvl>
    <w:lvl w:ilvl="2" w:tplc="2866571A" w:tentative="1">
      <w:start w:val="1"/>
      <w:numFmt w:val="bullet"/>
      <w:lvlText w:val="•"/>
      <w:lvlJc w:val="left"/>
      <w:pPr>
        <w:tabs>
          <w:tab w:val="num" w:pos="2160"/>
        </w:tabs>
        <w:ind w:left="2160" w:hanging="360"/>
      </w:pPr>
      <w:rPr>
        <w:rFonts w:ascii="Arial" w:hAnsi="Arial" w:hint="default"/>
      </w:rPr>
    </w:lvl>
    <w:lvl w:ilvl="3" w:tplc="FCB8D560" w:tentative="1">
      <w:start w:val="1"/>
      <w:numFmt w:val="bullet"/>
      <w:lvlText w:val="•"/>
      <w:lvlJc w:val="left"/>
      <w:pPr>
        <w:tabs>
          <w:tab w:val="num" w:pos="2880"/>
        </w:tabs>
        <w:ind w:left="2880" w:hanging="360"/>
      </w:pPr>
      <w:rPr>
        <w:rFonts w:ascii="Arial" w:hAnsi="Arial" w:hint="default"/>
      </w:rPr>
    </w:lvl>
    <w:lvl w:ilvl="4" w:tplc="56B6D822" w:tentative="1">
      <w:start w:val="1"/>
      <w:numFmt w:val="bullet"/>
      <w:lvlText w:val="•"/>
      <w:lvlJc w:val="left"/>
      <w:pPr>
        <w:tabs>
          <w:tab w:val="num" w:pos="3600"/>
        </w:tabs>
        <w:ind w:left="3600" w:hanging="360"/>
      </w:pPr>
      <w:rPr>
        <w:rFonts w:ascii="Arial" w:hAnsi="Arial" w:hint="default"/>
      </w:rPr>
    </w:lvl>
    <w:lvl w:ilvl="5" w:tplc="2FF8C210" w:tentative="1">
      <w:start w:val="1"/>
      <w:numFmt w:val="bullet"/>
      <w:lvlText w:val="•"/>
      <w:lvlJc w:val="left"/>
      <w:pPr>
        <w:tabs>
          <w:tab w:val="num" w:pos="4320"/>
        </w:tabs>
        <w:ind w:left="4320" w:hanging="360"/>
      </w:pPr>
      <w:rPr>
        <w:rFonts w:ascii="Arial" w:hAnsi="Arial" w:hint="default"/>
      </w:rPr>
    </w:lvl>
    <w:lvl w:ilvl="6" w:tplc="795ADDBC" w:tentative="1">
      <w:start w:val="1"/>
      <w:numFmt w:val="bullet"/>
      <w:lvlText w:val="•"/>
      <w:lvlJc w:val="left"/>
      <w:pPr>
        <w:tabs>
          <w:tab w:val="num" w:pos="5040"/>
        </w:tabs>
        <w:ind w:left="5040" w:hanging="360"/>
      </w:pPr>
      <w:rPr>
        <w:rFonts w:ascii="Arial" w:hAnsi="Arial" w:hint="default"/>
      </w:rPr>
    </w:lvl>
    <w:lvl w:ilvl="7" w:tplc="35F418F4" w:tentative="1">
      <w:start w:val="1"/>
      <w:numFmt w:val="bullet"/>
      <w:lvlText w:val="•"/>
      <w:lvlJc w:val="left"/>
      <w:pPr>
        <w:tabs>
          <w:tab w:val="num" w:pos="5760"/>
        </w:tabs>
        <w:ind w:left="5760" w:hanging="360"/>
      </w:pPr>
      <w:rPr>
        <w:rFonts w:ascii="Arial" w:hAnsi="Arial" w:hint="default"/>
      </w:rPr>
    </w:lvl>
    <w:lvl w:ilvl="8" w:tplc="979E19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776D1D"/>
    <w:multiLevelType w:val="hybridMultilevel"/>
    <w:tmpl w:val="735AB62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5E28AB"/>
    <w:multiLevelType w:val="hybridMultilevel"/>
    <w:tmpl w:val="A260D5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903363"/>
    <w:multiLevelType w:val="hybridMultilevel"/>
    <w:tmpl w:val="13EA4E44"/>
    <w:lvl w:ilvl="0" w:tplc="0AE66F0E">
      <w:start w:val="1"/>
      <w:numFmt w:val="bullet"/>
      <w:lvlText w:val="-"/>
      <w:lvlJc w:val="left"/>
      <w:pPr>
        <w:tabs>
          <w:tab w:val="num" w:pos="720"/>
        </w:tabs>
        <w:ind w:left="720" w:hanging="360"/>
      </w:pPr>
      <w:rPr>
        <w:rFonts w:ascii="Times New Roman" w:hAnsi="Times New Roman" w:hint="default"/>
      </w:rPr>
    </w:lvl>
    <w:lvl w:ilvl="1" w:tplc="00BA25DA">
      <w:start w:val="1"/>
      <w:numFmt w:val="bullet"/>
      <w:lvlText w:val="-"/>
      <w:lvlJc w:val="left"/>
      <w:pPr>
        <w:tabs>
          <w:tab w:val="num" w:pos="1440"/>
        </w:tabs>
        <w:ind w:left="1440" w:hanging="360"/>
      </w:pPr>
      <w:rPr>
        <w:rFonts w:ascii="Times New Roman" w:hAnsi="Times New Roman" w:hint="default"/>
      </w:rPr>
    </w:lvl>
    <w:lvl w:ilvl="2" w:tplc="A7063442" w:tentative="1">
      <w:start w:val="1"/>
      <w:numFmt w:val="bullet"/>
      <w:lvlText w:val="-"/>
      <w:lvlJc w:val="left"/>
      <w:pPr>
        <w:tabs>
          <w:tab w:val="num" w:pos="2160"/>
        </w:tabs>
        <w:ind w:left="2160" w:hanging="360"/>
      </w:pPr>
      <w:rPr>
        <w:rFonts w:ascii="Times New Roman" w:hAnsi="Times New Roman" w:hint="default"/>
      </w:rPr>
    </w:lvl>
    <w:lvl w:ilvl="3" w:tplc="31BA21DC" w:tentative="1">
      <w:start w:val="1"/>
      <w:numFmt w:val="bullet"/>
      <w:lvlText w:val="-"/>
      <w:lvlJc w:val="left"/>
      <w:pPr>
        <w:tabs>
          <w:tab w:val="num" w:pos="2880"/>
        </w:tabs>
        <w:ind w:left="2880" w:hanging="360"/>
      </w:pPr>
      <w:rPr>
        <w:rFonts w:ascii="Times New Roman" w:hAnsi="Times New Roman" w:hint="default"/>
      </w:rPr>
    </w:lvl>
    <w:lvl w:ilvl="4" w:tplc="357C3E32" w:tentative="1">
      <w:start w:val="1"/>
      <w:numFmt w:val="bullet"/>
      <w:lvlText w:val="-"/>
      <w:lvlJc w:val="left"/>
      <w:pPr>
        <w:tabs>
          <w:tab w:val="num" w:pos="3600"/>
        </w:tabs>
        <w:ind w:left="3600" w:hanging="360"/>
      </w:pPr>
      <w:rPr>
        <w:rFonts w:ascii="Times New Roman" w:hAnsi="Times New Roman" w:hint="default"/>
      </w:rPr>
    </w:lvl>
    <w:lvl w:ilvl="5" w:tplc="6A8A9A14" w:tentative="1">
      <w:start w:val="1"/>
      <w:numFmt w:val="bullet"/>
      <w:lvlText w:val="-"/>
      <w:lvlJc w:val="left"/>
      <w:pPr>
        <w:tabs>
          <w:tab w:val="num" w:pos="4320"/>
        </w:tabs>
        <w:ind w:left="4320" w:hanging="360"/>
      </w:pPr>
      <w:rPr>
        <w:rFonts w:ascii="Times New Roman" w:hAnsi="Times New Roman" w:hint="default"/>
      </w:rPr>
    </w:lvl>
    <w:lvl w:ilvl="6" w:tplc="9C1673B0" w:tentative="1">
      <w:start w:val="1"/>
      <w:numFmt w:val="bullet"/>
      <w:lvlText w:val="-"/>
      <w:lvlJc w:val="left"/>
      <w:pPr>
        <w:tabs>
          <w:tab w:val="num" w:pos="5040"/>
        </w:tabs>
        <w:ind w:left="5040" w:hanging="360"/>
      </w:pPr>
      <w:rPr>
        <w:rFonts w:ascii="Times New Roman" w:hAnsi="Times New Roman" w:hint="default"/>
      </w:rPr>
    </w:lvl>
    <w:lvl w:ilvl="7" w:tplc="CA861502" w:tentative="1">
      <w:start w:val="1"/>
      <w:numFmt w:val="bullet"/>
      <w:lvlText w:val="-"/>
      <w:lvlJc w:val="left"/>
      <w:pPr>
        <w:tabs>
          <w:tab w:val="num" w:pos="5760"/>
        </w:tabs>
        <w:ind w:left="5760" w:hanging="360"/>
      </w:pPr>
      <w:rPr>
        <w:rFonts w:ascii="Times New Roman" w:hAnsi="Times New Roman" w:hint="default"/>
      </w:rPr>
    </w:lvl>
    <w:lvl w:ilvl="8" w:tplc="57363B7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17"/>
    <w:rsid w:val="002363F9"/>
    <w:rsid w:val="0047156A"/>
    <w:rsid w:val="00491817"/>
    <w:rsid w:val="0054642C"/>
    <w:rsid w:val="00577D56"/>
    <w:rsid w:val="00580B1E"/>
    <w:rsid w:val="009D2469"/>
    <w:rsid w:val="00A604E1"/>
    <w:rsid w:val="00B96666"/>
    <w:rsid w:val="00CA5F3C"/>
    <w:rsid w:val="00DE5617"/>
    <w:rsid w:val="00E45ED7"/>
    <w:rsid w:val="00EE53B9"/>
    <w:rsid w:val="00EF3507"/>
    <w:rsid w:val="00F22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35FB"/>
  <w15:chartTrackingRefBased/>
  <w15:docId w15:val="{9519A018-5D8B-45CC-B2C9-C36CEE50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17"/>
  </w:style>
  <w:style w:type="paragraph" w:styleId="Heading1">
    <w:name w:val="heading 1"/>
    <w:basedOn w:val="Normal"/>
    <w:next w:val="Normal"/>
    <w:link w:val="Heading1Char"/>
    <w:uiPriority w:val="9"/>
    <w:qFormat/>
    <w:rsid w:val="004918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18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1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18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181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45ED7"/>
    <w:rPr>
      <w:color w:val="0563C1" w:themeColor="hyperlink"/>
      <w:u w:val="single"/>
    </w:rPr>
  </w:style>
  <w:style w:type="character" w:styleId="UnresolvedMention">
    <w:name w:val="Unresolved Mention"/>
    <w:basedOn w:val="DefaultParagraphFont"/>
    <w:uiPriority w:val="99"/>
    <w:semiHidden/>
    <w:unhideWhenUsed/>
    <w:rsid w:val="00E45ED7"/>
    <w:rPr>
      <w:color w:val="605E5C"/>
      <w:shd w:val="clear" w:color="auto" w:fill="E1DFDD"/>
    </w:rPr>
  </w:style>
  <w:style w:type="paragraph" w:styleId="ListParagraph">
    <w:name w:val="List Paragraph"/>
    <w:basedOn w:val="Normal"/>
    <w:uiPriority w:val="34"/>
    <w:qFormat/>
    <w:rsid w:val="00B96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3682">
      <w:bodyDiv w:val="1"/>
      <w:marLeft w:val="0"/>
      <w:marRight w:val="0"/>
      <w:marTop w:val="0"/>
      <w:marBottom w:val="0"/>
      <w:divBdr>
        <w:top w:val="none" w:sz="0" w:space="0" w:color="auto"/>
        <w:left w:val="none" w:sz="0" w:space="0" w:color="auto"/>
        <w:bottom w:val="none" w:sz="0" w:space="0" w:color="auto"/>
        <w:right w:val="none" w:sz="0" w:space="0" w:color="auto"/>
      </w:divBdr>
      <w:divsChild>
        <w:div w:id="2055620736">
          <w:marLeft w:val="720"/>
          <w:marRight w:val="0"/>
          <w:marTop w:val="0"/>
          <w:marBottom w:val="0"/>
          <w:divBdr>
            <w:top w:val="none" w:sz="0" w:space="0" w:color="auto"/>
            <w:left w:val="none" w:sz="0" w:space="0" w:color="auto"/>
            <w:bottom w:val="none" w:sz="0" w:space="0" w:color="auto"/>
            <w:right w:val="none" w:sz="0" w:space="0" w:color="auto"/>
          </w:divBdr>
        </w:div>
        <w:div w:id="1866091381">
          <w:marLeft w:val="720"/>
          <w:marRight w:val="0"/>
          <w:marTop w:val="0"/>
          <w:marBottom w:val="0"/>
          <w:divBdr>
            <w:top w:val="none" w:sz="0" w:space="0" w:color="auto"/>
            <w:left w:val="none" w:sz="0" w:space="0" w:color="auto"/>
            <w:bottom w:val="none" w:sz="0" w:space="0" w:color="auto"/>
            <w:right w:val="none" w:sz="0" w:space="0" w:color="auto"/>
          </w:divBdr>
        </w:div>
        <w:div w:id="1221597422">
          <w:marLeft w:val="720"/>
          <w:marRight w:val="0"/>
          <w:marTop w:val="0"/>
          <w:marBottom w:val="0"/>
          <w:divBdr>
            <w:top w:val="none" w:sz="0" w:space="0" w:color="auto"/>
            <w:left w:val="none" w:sz="0" w:space="0" w:color="auto"/>
            <w:bottom w:val="none" w:sz="0" w:space="0" w:color="auto"/>
            <w:right w:val="none" w:sz="0" w:space="0" w:color="auto"/>
          </w:divBdr>
        </w:div>
        <w:div w:id="717432309">
          <w:marLeft w:val="720"/>
          <w:marRight w:val="0"/>
          <w:marTop w:val="0"/>
          <w:marBottom w:val="0"/>
          <w:divBdr>
            <w:top w:val="none" w:sz="0" w:space="0" w:color="auto"/>
            <w:left w:val="none" w:sz="0" w:space="0" w:color="auto"/>
            <w:bottom w:val="none" w:sz="0" w:space="0" w:color="auto"/>
            <w:right w:val="none" w:sz="0" w:space="0" w:color="auto"/>
          </w:divBdr>
        </w:div>
        <w:div w:id="10668784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https://www.gov.scot/policies/cities-regions/community-wealth-building/" TargetMode="External"/><Relationship Id="rId12" Type="http://schemas.openxmlformats.org/officeDocument/2006/relationships/image" Target="media/image3.emf"/><Relationship Id="rId17" Type="http://schemas.openxmlformats.org/officeDocument/2006/relationships/package" Target="embeddings/Microsoft_Word_Document2.docx"/><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scot/policies/public-sector-procurement/sustainable-procurement-duty/" TargetMode="External"/><Relationship Id="rId11" Type="http://schemas.openxmlformats.org/officeDocument/2006/relationships/package" Target="embeddings/Microsoft_PowerPoint_Presentation.pptx"/><Relationship Id="rId24" Type="http://schemas.openxmlformats.org/officeDocument/2006/relationships/image" Target="media/image9.emf"/><Relationship Id="rId5" Type="http://schemas.openxmlformats.org/officeDocument/2006/relationships/hyperlink" Target="https://www.gov.scot/policies/energy-efficiency/the-national-public-energy-agency/" TargetMode="External"/><Relationship Id="rId15" Type="http://schemas.openxmlformats.org/officeDocument/2006/relationships/package" Target="embeddings/Microsoft_Word_Document1.docx"/><Relationship Id="rId23" Type="http://schemas.openxmlformats.org/officeDocument/2006/relationships/package" Target="embeddings/Microsoft_Word_Document4.doc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PowerPoint_Presentation5.pp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Lynch</dc:creator>
  <cp:keywords/>
  <dc:description/>
  <cp:lastModifiedBy>Emily Lynch</cp:lastModifiedBy>
  <cp:revision>2</cp:revision>
  <dcterms:created xsi:type="dcterms:W3CDTF">2022-11-08T16:07:00Z</dcterms:created>
  <dcterms:modified xsi:type="dcterms:W3CDTF">2022-11-08T16:07:00Z</dcterms:modified>
</cp:coreProperties>
</file>