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F647D" w14:textId="12BB90C9" w:rsidR="00CA5F3C" w:rsidRPr="00C62CB6" w:rsidRDefault="004728DA" w:rsidP="00C62CB6">
      <w:pPr>
        <w:pStyle w:val="Heading1"/>
        <w:spacing w:before="120"/>
        <w:jc w:val="center"/>
        <w:rPr>
          <w:b/>
          <w:bCs/>
        </w:rPr>
      </w:pPr>
      <w:bookmarkStart w:id="0" w:name="_GoBack"/>
      <w:bookmarkEnd w:id="0"/>
      <w:r w:rsidRPr="00C62CB6">
        <w:rPr>
          <w:b/>
          <w:bCs/>
        </w:rPr>
        <w:t>CPIB</w:t>
      </w:r>
    </w:p>
    <w:p w14:paraId="40AE3168" w14:textId="103A5573" w:rsidR="004728DA" w:rsidRPr="00C62CB6" w:rsidRDefault="004728DA" w:rsidP="00C62CB6">
      <w:pPr>
        <w:pStyle w:val="Heading1"/>
        <w:spacing w:before="120"/>
        <w:jc w:val="center"/>
        <w:rPr>
          <w:b/>
          <w:bCs/>
        </w:rPr>
      </w:pPr>
      <w:r w:rsidRPr="00C62CB6">
        <w:rPr>
          <w:b/>
          <w:bCs/>
        </w:rPr>
        <w:t xml:space="preserve">SLWG </w:t>
      </w:r>
      <w:r w:rsidR="00C62CB6">
        <w:rPr>
          <w:b/>
          <w:bCs/>
        </w:rPr>
        <w:t>on</w:t>
      </w:r>
      <w:r w:rsidRPr="00C62CB6">
        <w:rPr>
          <w:b/>
          <w:bCs/>
        </w:rPr>
        <w:t xml:space="preserve"> Financial Security for Low Income Households</w:t>
      </w:r>
    </w:p>
    <w:p w14:paraId="2488C703" w14:textId="74C67E91" w:rsidR="00475982" w:rsidRPr="00F14752" w:rsidRDefault="00D942A3" w:rsidP="00F14752">
      <w:pPr>
        <w:pStyle w:val="Heading1"/>
        <w:spacing w:before="120"/>
        <w:jc w:val="center"/>
        <w:rPr>
          <w:b/>
          <w:bCs/>
        </w:rPr>
      </w:pPr>
      <w:r w:rsidRPr="00C62CB6">
        <w:rPr>
          <w:b/>
          <w:bCs/>
        </w:rPr>
        <w:t>June-August 2022</w:t>
      </w:r>
    </w:p>
    <w:p w14:paraId="5C183504" w14:textId="3B89D649" w:rsidR="00F713DA" w:rsidRDefault="00F713DA" w:rsidP="00475982">
      <w:pPr>
        <w:spacing w:line="240" w:lineRule="auto"/>
      </w:pPr>
    </w:p>
    <w:p w14:paraId="31EE8CDB" w14:textId="04998B61" w:rsidR="00F713DA" w:rsidRDefault="008261CB" w:rsidP="008261CB">
      <w:pPr>
        <w:pStyle w:val="Heading1"/>
      </w:pPr>
      <w:r>
        <w:t>EXECUTIVE SUMMARY</w:t>
      </w:r>
    </w:p>
    <w:p w14:paraId="31591EA2" w14:textId="0AB5B2F5" w:rsidR="008261CB" w:rsidRDefault="008261CB" w:rsidP="004E6BD9">
      <w:pPr>
        <w:pStyle w:val="Heading1"/>
        <w:numPr>
          <w:ilvl w:val="0"/>
          <w:numId w:val="39"/>
        </w:numPr>
      </w:pPr>
      <w:r>
        <w:t>Data Sharing</w:t>
      </w:r>
    </w:p>
    <w:p w14:paraId="42F90A10" w14:textId="77777777" w:rsidR="008261CB" w:rsidRDefault="008261CB" w:rsidP="008261CB">
      <w:pPr>
        <w:spacing w:line="240" w:lineRule="auto"/>
        <w:rPr>
          <w:b/>
          <w:bCs/>
        </w:rPr>
      </w:pPr>
      <w:r w:rsidRPr="00F62C32">
        <w:rPr>
          <w:b/>
          <w:bCs/>
        </w:rPr>
        <w:t xml:space="preserve">How </w:t>
      </w:r>
      <w:r>
        <w:rPr>
          <w:b/>
          <w:bCs/>
        </w:rPr>
        <w:t>do we</w:t>
      </w:r>
      <w:r w:rsidRPr="00F62C32">
        <w:rPr>
          <w:b/>
          <w:bCs/>
        </w:rPr>
        <w:t xml:space="preserve"> address barriers in relation to organisational sharing of population and personal data, building on progress made in overcoming such barriers during Covid</w:t>
      </w:r>
      <w:r>
        <w:rPr>
          <w:b/>
          <w:bCs/>
        </w:rPr>
        <w:t>?  What work is</w:t>
      </w:r>
      <w:r w:rsidRPr="00152317">
        <w:rPr>
          <w:b/>
          <w:bCs/>
        </w:rPr>
        <w:t xml:space="preserve"> already happening to facilitate data sharing and where </w:t>
      </w:r>
      <w:r>
        <w:rPr>
          <w:b/>
          <w:bCs/>
        </w:rPr>
        <w:t>might there be</w:t>
      </w:r>
      <w:r w:rsidRPr="00152317">
        <w:rPr>
          <w:b/>
          <w:bCs/>
        </w:rPr>
        <w:t xml:space="preserve"> opportunities for wider applicability</w:t>
      </w:r>
      <w:r>
        <w:rPr>
          <w:b/>
          <w:bCs/>
        </w:rPr>
        <w:t>?</w:t>
      </w:r>
    </w:p>
    <w:p w14:paraId="6703E027" w14:textId="77777777" w:rsidR="008261CB" w:rsidRDefault="008261CB" w:rsidP="008261CB">
      <w:pPr>
        <w:spacing w:line="240" w:lineRule="auto"/>
        <w:rPr>
          <w:b/>
          <w:bCs/>
        </w:rPr>
      </w:pPr>
      <w:r>
        <w:rPr>
          <w:b/>
          <w:bCs/>
        </w:rPr>
        <w:t>Key Points</w:t>
      </w:r>
    </w:p>
    <w:p w14:paraId="1ABB17EE" w14:textId="77777777" w:rsidR="008261CB" w:rsidRDefault="008261CB" w:rsidP="004E6BD9">
      <w:pPr>
        <w:pStyle w:val="ListParagraph"/>
        <w:numPr>
          <w:ilvl w:val="0"/>
          <w:numId w:val="40"/>
        </w:numPr>
      </w:pPr>
      <w:r>
        <w:t xml:space="preserve">We need better sharing of data in the following areas: </w:t>
      </w:r>
      <w:r w:rsidRPr="00475982">
        <w:t>S</w:t>
      </w:r>
      <w:r>
        <w:t>ocial Security Scotland entitlement data;</w:t>
      </w:r>
      <w:r w:rsidRPr="00475982">
        <w:t xml:space="preserve"> HMRC/DWP</w:t>
      </w:r>
      <w:r>
        <w:t xml:space="preserve"> data on household income;</w:t>
      </w:r>
      <w:r w:rsidRPr="00475982">
        <w:t xml:space="preserve"> </w:t>
      </w:r>
      <w:r>
        <w:t>data on lived experience; data on debt to statutory organisations such as council tax/water, housing providers, fuel providers and education; and credit rating information</w:t>
      </w:r>
    </w:p>
    <w:p w14:paraId="1691BE2F" w14:textId="031862C0" w:rsidR="008261CB" w:rsidRPr="00475982" w:rsidRDefault="008261CB" w:rsidP="004E6BD9">
      <w:pPr>
        <w:numPr>
          <w:ilvl w:val="0"/>
          <w:numId w:val="40"/>
        </w:numPr>
        <w:spacing w:after="0" w:line="240" w:lineRule="auto"/>
      </w:pPr>
      <w:r>
        <w:t xml:space="preserve">It would be helpful to agree both </w:t>
      </w:r>
      <w:r w:rsidRPr="00475982">
        <w:t>national principles for what</w:t>
      </w:r>
      <w:r>
        <w:t xml:space="preserve"> data</w:t>
      </w:r>
      <w:r w:rsidRPr="00475982">
        <w:t xml:space="preserve"> can be shared</w:t>
      </w:r>
      <w:r>
        <w:t xml:space="preserve"> and</w:t>
      </w:r>
      <w:r w:rsidRPr="00475982">
        <w:t xml:space="preserve"> </w:t>
      </w:r>
      <w:r>
        <w:t>common risk</w:t>
      </w:r>
      <w:r w:rsidRPr="00475982">
        <w:t xml:space="preserve"> levels</w:t>
      </w:r>
      <w:r>
        <w:t xml:space="preserve"> in relation to GDPR.  We believe there could be a key role for the Information Commissioner, including a steer on whether the</w:t>
      </w:r>
      <w:r w:rsidRPr="00475982">
        <w:t xml:space="preserve"> ‘public task’ designation </w:t>
      </w:r>
      <w:r w:rsidR="0047399B" w:rsidRPr="00C37675">
        <w:rPr>
          <w:rFonts w:eastAsia="Times New Roman"/>
        </w:rPr>
        <w:t xml:space="preserve">within the </w:t>
      </w:r>
      <w:hyperlink r:id="rId5" w:history="1">
        <w:r w:rsidR="0047399B">
          <w:rPr>
            <w:rStyle w:val="Hyperlink"/>
            <w:rFonts w:eastAsia="Times New Roman"/>
          </w:rPr>
          <w:t>GDPR</w:t>
        </w:r>
      </w:hyperlink>
      <w:r w:rsidR="0047399B">
        <w:rPr>
          <w:rFonts w:eastAsia="Times New Roman"/>
          <w:color w:val="FF0000"/>
        </w:rPr>
        <w:t xml:space="preserve"> </w:t>
      </w:r>
      <w:r w:rsidRPr="00475982">
        <w:t>could be used collectively for wellbeing</w:t>
      </w:r>
    </w:p>
    <w:p w14:paraId="7039D7CE" w14:textId="77777777" w:rsidR="008261CB" w:rsidRDefault="008261CB" w:rsidP="004E6BD9">
      <w:pPr>
        <w:numPr>
          <w:ilvl w:val="0"/>
          <w:numId w:val="40"/>
        </w:numPr>
        <w:spacing w:after="0" w:line="240" w:lineRule="auto"/>
      </w:pPr>
      <w:r>
        <w:t>Better integration of data and IT systems is needed to improve</w:t>
      </w:r>
      <w:r w:rsidRPr="009D443F">
        <w:t xml:space="preserve"> </w:t>
      </w:r>
      <w:r>
        <w:t>referral pathways between health services and income maximisation services in particular, as the current complexity of systems between (and within) organisations prohibits data sharing;</w:t>
      </w:r>
    </w:p>
    <w:p w14:paraId="7618E5A8" w14:textId="77777777" w:rsidR="008261CB" w:rsidRPr="00475982" w:rsidRDefault="008261CB" w:rsidP="004E6BD9">
      <w:pPr>
        <w:numPr>
          <w:ilvl w:val="0"/>
          <w:numId w:val="40"/>
        </w:numPr>
        <w:spacing w:after="0" w:line="240" w:lineRule="auto"/>
      </w:pPr>
      <w:r>
        <w:t>If</w:t>
      </w:r>
      <w:r w:rsidRPr="00475982">
        <w:t xml:space="preserve"> barriers are being unblocked in some places </w:t>
      </w:r>
      <w:r>
        <w:t>to promote better sharing of HMRC/DWP data (e.g. Glasgow), how can we replicate this in other council areas?</w:t>
      </w:r>
    </w:p>
    <w:p w14:paraId="342F468F" w14:textId="79491CCE" w:rsidR="008261CB" w:rsidRPr="00FB3B9D" w:rsidRDefault="008261CB" w:rsidP="004E6BD9">
      <w:pPr>
        <w:numPr>
          <w:ilvl w:val="0"/>
          <w:numId w:val="40"/>
        </w:numPr>
        <w:spacing w:after="0" w:line="240" w:lineRule="auto"/>
      </w:pPr>
      <w:r w:rsidRPr="00FB3B9D">
        <w:t xml:space="preserve">Are there wider application opportunities for the legal gateway and appropriate mechanisms for information sharing being developed in the Social Security </w:t>
      </w:r>
      <w:r w:rsidRPr="00F14752">
        <w:t xml:space="preserve">pilots, i.e. covered on page </w:t>
      </w:r>
      <w:r w:rsidR="00F14752" w:rsidRPr="00F14752">
        <w:t>6</w:t>
      </w:r>
      <w:r>
        <w:t>)</w:t>
      </w:r>
    </w:p>
    <w:p w14:paraId="14B29E6A" w14:textId="77777777" w:rsidR="008261CB" w:rsidRPr="00475982" w:rsidRDefault="008261CB" w:rsidP="004E6BD9">
      <w:pPr>
        <w:numPr>
          <w:ilvl w:val="0"/>
          <w:numId w:val="40"/>
        </w:numPr>
        <w:spacing w:after="0" w:line="240" w:lineRule="auto"/>
      </w:pPr>
      <w:r>
        <w:t xml:space="preserve">Could we negotiate corporate access to software such as MOSAIC and ACORN for service providers to access useful national datasets held by </w:t>
      </w:r>
      <w:proofErr w:type="spellStart"/>
      <w:r>
        <w:t>Experien</w:t>
      </w:r>
      <w:proofErr w:type="spellEnd"/>
      <w:r>
        <w:t xml:space="preserve"> and CACI?</w:t>
      </w:r>
    </w:p>
    <w:p w14:paraId="23740068" w14:textId="77777777" w:rsidR="008261CB" w:rsidRPr="00475982" w:rsidRDefault="008261CB" w:rsidP="004E6BD9">
      <w:pPr>
        <w:numPr>
          <w:ilvl w:val="0"/>
          <w:numId w:val="40"/>
        </w:numPr>
        <w:spacing w:after="0" w:line="240" w:lineRule="auto"/>
      </w:pPr>
      <w:r>
        <w:t>Drawing on the l</w:t>
      </w:r>
      <w:r w:rsidRPr="00475982">
        <w:t xml:space="preserve">earning </w:t>
      </w:r>
      <w:r>
        <w:t>in</w:t>
      </w:r>
      <w:r w:rsidRPr="00475982">
        <w:t xml:space="preserve"> England</w:t>
      </w:r>
      <w:r>
        <w:t xml:space="preserve"> from </w:t>
      </w:r>
      <w:r w:rsidRPr="00475982">
        <w:t xml:space="preserve">SAVVI </w:t>
      </w:r>
      <w:r>
        <w:t xml:space="preserve">(scalable approach to vulnerability via interoperability), </w:t>
      </w:r>
      <w:r w:rsidRPr="00475982">
        <w:t>are there levers in Scotland we could make more use of (e.g. Digital Economy Act)</w:t>
      </w:r>
      <w:r>
        <w:t>?</w:t>
      </w:r>
    </w:p>
    <w:p w14:paraId="34F9D7D6" w14:textId="4EAC35FD" w:rsidR="00A02445" w:rsidRPr="00A02445" w:rsidRDefault="00A02445" w:rsidP="00A02445">
      <w:pPr>
        <w:pStyle w:val="xmsonormal"/>
        <w:numPr>
          <w:ilvl w:val="0"/>
          <w:numId w:val="40"/>
        </w:numPr>
      </w:pPr>
      <w:r w:rsidRPr="00A02445">
        <w:t>The reliance the statutory sector has on 3</w:t>
      </w:r>
      <w:r w:rsidRPr="00A02445">
        <w:rPr>
          <w:vertAlign w:val="superscript"/>
        </w:rPr>
        <w:t>rd</w:t>
      </w:r>
      <w:r w:rsidRPr="00A02445">
        <w:t xml:space="preserve"> sector service provision is growing, however with so many local and national organisations (given there are circa 40,000) a streamlined </w:t>
      </w:r>
      <w:r>
        <w:t xml:space="preserve">data </w:t>
      </w:r>
      <w:r w:rsidRPr="00A02445">
        <w:t>access route needs to be developed to allow referrals to local and national providers alongside a secure network. Could TSI’s play a role here?</w:t>
      </w:r>
    </w:p>
    <w:p w14:paraId="242CD949" w14:textId="77777777" w:rsidR="008261CB" w:rsidRDefault="008261CB" w:rsidP="004E6BD9">
      <w:pPr>
        <w:numPr>
          <w:ilvl w:val="0"/>
          <w:numId w:val="40"/>
        </w:numPr>
        <w:spacing w:after="0" w:line="240" w:lineRule="auto"/>
      </w:pPr>
      <w:r>
        <w:t>How could we enable the Third Sector to use</w:t>
      </w:r>
      <w:r w:rsidRPr="00475982">
        <w:t xml:space="preserve"> MACRO/ big data to identify where their services would be most helpful, rather than public bodies commissioning projects from the third sector all over the place</w:t>
      </w:r>
      <w:r>
        <w:t>?</w:t>
      </w:r>
      <w:r w:rsidRPr="00475982">
        <w:t xml:space="preserve"> </w:t>
      </w:r>
    </w:p>
    <w:p w14:paraId="1D07050A" w14:textId="632131B3" w:rsidR="008261CB" w:rsidRDefault="008261CB" w:rsidP="00475982">
      <w:pPr>
        <w:spacing w:line="240" w:lineRule="auto"/>
      </w:pPr>
    </w:p>
    <w:p w14:paraId="44CBA3BF" w14:textId="1706DFF6" w:rsidR="008261CB" w:rsidRPr="002512D4" w:rsidRDefault="008261CB" w:rsidP="004E6BD9">
      <w:pPr>
        <w:pStyle w:val="Heading1"/>
        <w:numPr>
          <w:ilvl w:val="0"/>
          <w:numId w:val="39"/>
        </w:numPr>
      </w:pPr>
      <w:r w:rsidRPr="002512D4">
        <w:t>Funding Barriers</w:t>
      </w:r>
    </w:p>
    <w:p w14:paraId="5355B4B8" w14:textId="77777777" w:rsidR="008261CB" w:rsidRPr="002512D4" w:rsidRDefault="008261CB" w:rsidP="008261CB">
      <w:pPr>
        <w:rPr>
          <w:rFonts w:cstheme="minorHAnsi"/>
          <w:b/>
          <w:bCs/>
        </w:rPr>
      </w:pPr>
      <w:r w:rsidRPr="00A15F55">
        <w:rPr>
          <w:rFonts w:cstheme="minorHAnsi"/>
          <w:b/>
          <w:bCs/>
        </w:rPr>
        <w:t xml:space="preserve">How </w:t>
      </w:r>
      <w:r>
        <w:rPr>
          <w:rFonts w:cstheme="minorHAnsi"/>
          <w:b/>
          <w:bCs/>
        </w:rPr>
        <w:t>do we address</w:t>
      </w:r>
      <w:r w:rsidRPr="00A15F55">
        <w:rPr>
          <w:rFonts w:cstheme="minorHAnsi"/>
          <w:b/>
          <w:bCs/>
        </w:rPr>
        <w:t xml:space="preserve"> the challenges partners face in relation to funding cycles, ringfencing and reporting to different funders with different timescales</w:t>
      </w:r>
      <w:r>
        <w:rPr>
          <w:rFonts w:cstheme="minorHAnsi"/>
          <w:b/>
          <w:bCs/>
        </w:rPr>
        <w:t>?</w:t>
      </w:r>
    </w:p>
    <w:p w14:paraId="1A02EAFC" w14:textId="77777777" w:rsidR="008261CB" w:rsidRPr="00A15F55" w:rsidRDefault="008261CB" w:rsidP="008261CB">
      <w:pPr>
        <w:rPr>
          <w:rFonts w:cstheme="minorHAnsi"/>
        </w:rPr>
      </w:pPr>
      <w:r w:rsidRPr="00CB14FC">
        <w:rPr>
          <w:rFonts w:cstheme="minorHAnsi"/>
          <w:b/>
          <w:bCs/>
        </w:rPr>
        <w:t>Key Points:</w:t>
      </w:r>
    </w:p>
    <w:p w14:paraId="7CFD8DD9" w14:textId="577CADFA" w:rsidR="008261CB" w:rsidRPr="000E41B6" w:rsidRDefault="008261CB" w:rsidP="004E6BD9">
      <w:pPr>
        <w:numPr>
          <w:ilvl w:val="0"/>
          <w:numId w:val="41"/>
        </w:numPr>
        <w:spacing w:after="0" w:line="240" w:lineRule="auto"/>
        <w:rPr>
          <w:rFonts w:cstheme="minorHAnsi"/>
        </w:rPr>
      </w:pPr>
      <w:r w:rsidRPr="00C62CB6">
        <w:rPr>
          <w:rFonts w:cstheme="minorHAnsi"/>
          <w:b/>
          <w:bCs/>
        </w:rPr>
        <w:t>Longer-term funding</w:t>
      </w:r>
      <w:r>
        <w:rPr>
          <w:rFonts w:cstheme="minorHAnsi"/>
        </w:rPr>
        <w:t xml:space="preserve">. </w:t>
      </w:r>
      <w:r w:rsidRPr="00CB14FC">
        <w:rPr>
          <w:rFonts w:cstheme="minorHAnsi"/>
        </w:rPr>
        <w:t xml:space="preserve">Funding timescales </w:t>
      </w:r>
      <w:r>
        <w:rPr>
          <w:rFonts w:cstheme="minorHAnsi"/>
        </w:rPr>
        <w:t>are</w:t>
      </w:r>
      <w:r w:rsidRPr="00CB14FC">
        <w:rPr>
          <w:rFonts w:cstheme="minorHAnsi"/>
        </w:rPr>
        <w:t xml:space="preserve"> too tight to allow meaningful </w:t>
      </w:r>
      <w:r>
        <w:rPr>
          <w:rFonts w:cstheme="minorHAnsi"/>
        </w:rPr>
        <w:t>planning or development of effective projects or services</w:t>
      </w:r>
      <w:r w:rsidRPr="00CB14FC">
        <w:rPr>
          <w:rFonts w:cstheme="minorHAnsi"/>
        </w:rPr>
        <w:t xml:space="preserve"> with vulnerable people (</w:t>
      </w:r>
      <w:r w:rsidRPr="000E41B6">
        <w:rPr>
          <w:rFonts w:cstheme="minorHAnsi"/>
        </w:rPr>
        <w:t xml:space="preserve">including effective recruitment/staff development etc).  There are also issues with lack of flexibility to carry forward funding/work into future years. </w:t>
      </w:r>
    </w:p>
    <w:p w14:paraId="2637C8E7" w14:textId="7A64BCCC" w:rsidR="008261CB" w:rsidRPr="000E41B6" w:rsidRDefault="008261CB" w:rsidP="004E6BD9">
      <w:pPr>
        <w:numPr>
          <w:ilvl w:val="0"/>
          <w:numId w:val="41"/>
        </w:numPr>
        <w:spacing w:after="0" w:line="240" w:lineRule="auto"/>
        <w:rPr>
          <w:rFonts w:cstheme="minorHAnsi"/>
        </w:rPr>
      </w:pPr>
      <w:r w:rsidRPr="00C62CB6">
        <w:rPr>
          <w:rFonts w:cstheme="minorHAnsi"/>
          <w:b/>
          <w:bCs/>
        </w:rPr>
        <w:lastRenderedPageBreak/>
        <w:t>Better Evaluation</w:t>
      </w:r>
      <w:r>
        <w:rPr>
          <w:rFonts w:cstheme="minorHAnsi"/>
        </w:rPr>
        <w:t xml:space="preserve">: </w:t>
      </w:r>
      <w:r w:rsidRPr="000E41B6">
        <w:rPr>
          <w:rFonts w:cstheme="minorHAnsi"/>
        </w:rPr>
        <w:t xml:space="preserve">These funding timescales undermine meaningful evaluation.  The lack of evaluation drives lack of trust, and the need for assurance through disproportionate governance/reporting.   Better </w:t>
      </w:r>
      <w:r w:rsidR="00F14752">
        <w:rPr>
          <w:rFonts w:cstheme="minorHAnsi"/>
        </w:rPr>
        <w:t>e</w:t>
      </w:r>
      <w:r w:rsidRPr="000E41B6">
        <w:rPr>
          <w:rFonts w:cstheme="minorHAnsi"/>
        </w:rPr>
        <w:t>valuation requires an investment in transformation however, the funding is not there!</w:t>
      </w:r>
      <w:r w:rsidR="00340747">
        <w:rPr>
          <w:rFonts w:cstheme="minorHAnsi"/>
        </w:rPr>
        <w:t xml:space="preserve"> In reshaping our system of evaluation to support a greater focus on early intervention and prevention, it is important to recognise that often the ‘benefits’ of intervention do not fall to the delivery organisation and are captured elsewhere.</w:t>
      </w:r>
    </w:p>
    <w:p w14:paraId="4522FE30" w14:textId="2EB9C08B" w:rsidR="008261CB" w:rsidRPr="000E41B6" w:rsidRDefault="008261CB" w:rsidP="004E6BD9">
      <w:pPr>
        <w:numPr>
          <w:ilvl w:val="0"/>
          <w:numId w:val="41"/>
        </w:numPr>
        <w:spacing w:after="0" w:line="240" w:lineRule="auto"/>
        <w:rPr>
          <w:rFonts w:cstheme="minorHAnsi"/>
        </w:rPr>
      </w:pPr>
      <w:r w:rsidRPr="00C62CB6">
        <w:rPr>
          <w:rFonts w:cstheme="minorHAnsi"/>
          <w:b/>
          <w:bCs/>
        </w:rPr>
        <w:t>The role of CPPS in making joined-up decisions on spend</w:t>
      </w:r>
      <w:r w:rsidRPr="000E41B6">
        <w:rPr>
          <w:rFonts w:cstheme="minorHAnsi"/>
        </w:rPr>
        <w:t xml:space="preserve"> </w:t>
      </w:r>
      <w:r>
        <w:rPr>
          <w:rFonts w:cstheme="minorHAnsi"/>
        </w:rPr>
        <w:t xml:space="preserve">should be strengthened </w:t>
      </w:r>
      <w:r w:rsidRPr="000E41B6">
        <w:rPr>
          <w:rFonts w:cstheme="minorHAnsi"/>
        </w:rPr>
        <w:t xml:space="preserve">to avoid duplication and maximise opportunities to reach those most in need (e.g. </w:t>
      </w:r>
      <w:r>
        <w:rPr>
          <w:rFonts w:cstheme="minorHAnsi"/>
        </w:rPr>
        <w:t>ADPs</w:t>
      </w:r>
      <w:r w:rsidRPr="000E41B6">
        <w:rPr>
          <w:rFonts w:cstheme="minorHAnsi"/>
        </w:rPr>
        <w:t xml:space="preserve"> where funding comes through the NHS, but SG look for evidence of partnership approaches and decisions about the use of funding).</w:t>
      </w:r>
    </w:p>
    <w:p w14:paraId="6A7E6116" w14:textId="33E50EE8" w:rsidR="008261CB" w:rsidRDefault="008261CB" w:rsidP="004E6BD9">
      <w:pPr>
        <w:numPr>
          <w:ilvl w:val="0"/>
          <w:numId w:val="41"/>
        </w:numPr>
        <w:spacing w:after="0" w:line="240" w:lineRule="auto"/>
        <w:rPr>
          <w:rFonts w:cstheme="minorHAnsi"/>
        </w:rPr>
      </w:pPr>
      <w:r w:rsidRPr="000E41B6">
        <w:rPr>
          <w:rFonts w:cstheme="minorHAnsi"/>
        </w:rPr>
        <w:t xml:space="preserve">Currently, no </w:t>
      </w:r>
      <w:r w:rsidRPr="00C62CB6">
        <w:rPr>
          <w:rFonts w:cstheme="minorHAnsi"/>
          <w:b/>
          <w:bCs/>
        </w:rPr>
        <w:t>mapping exists on Child Poverty funding</w:t>
      </w:r>
      <w:r w:rsidRPr="000E41B6">
        <w:rPr>
          <w:rFonts w:cstheme="minorHAnsi"/>
        </w:rPr>
        <w:t>.  Our view is that this would not be a useful focus of our resource at this time, particularly given the challenges around ensuring completeness and timeliness.  If</w:t>
      </w:r>
      <w:r>
        <w:rPr>
          <w:rFonts w:cstheme="minorHAnsi"/>
        </w:rPr>
        <w:t>,</w:t>
      </w:r>
      <w:r w:rsidRPr="000E41B6">
        <w:rPr>
          <w:rFonts w:cstheme="minorHAnsi"/>
        </w:rPr>
        <w:t xml:space="preserve"> however SG produce a mapping in due course, this will be a useful resource.</w:t>
      </w:r>
    </w:p>
    <w:p w14:paraId="0B7C90CC" w14:textId="77777777" w:rsidR="008261CB" w:rsidRDefault="008261CB" w:rsidP="00475982">
      <w:pPr>
        <w:spacing w:line="240" w:lineRule="auto"/>
      </w:pPr>
    </w:p>
    <w:p w14:paraId="743008C4" w14:textId="464EB207" w:rsidR="008261CB" w:rsidRPr="00D35F96" w:rsidRDefault="008261CB" w:rsidP="004E6BD9">
      <w:pPr>
        <w:pStyle w:val="Heading1"/>
        <w:numPr>
          <w:ilvl w:val="0"/>
          <w:numId w:val="39"/>
        </w:numPr>
      </w:pPr>
      <w:r w:rsidRPr="00D35F96">
        <w:t>Reporting and governance</w:t>
      </w:r>
    </w:p>
    <w:p w14:paraId="71CD4801" w14:textId="77777777" w:rsidR="008261CB" w:rsidRPr="00D35F96" w:rsidRDefault="008261CB" w:rsidP="008261CB">
      <w:pPr>
        <w:rPr>
          <w:b/>
          <w:i/>
          <w:color w:val="000000"/>
        </w:rPr>
      </w:pPr>
      <w:r w:rsidRPr="00D35F96">
        <w:rPr>
          <w:b/>
          <w:bCs/>
          <w:i/>
          <w:color w:val="000000"/>
        </w:rPr>
        <w:t xml:space="preserve">How </w:t>
      </w:r>
      <w:r>
        <w:rPr>
          <w:b/>
          <w:bCs/>
          <w:i/>
          <w:color w:val="000000"/>
        </w:rPr>
        <w:t>do we</w:t>
      </w:r>
      <w:r w:rsidRPr="00D35F96">
        <w:rPr>
          <w:b/>
          <w:bCs/>
          <w:i/>
          <w:color w:val="000000"/>
        </w:rPr>
        <w:t xml:space="preserve"> reduce the complexity of recording, reporting, and inspection frameworks which create both a burden and lack of clarity in relation to shared outcomes and priorities</w:t>
      </w:r>
      <w:r>
        <w:rPr>
          <w:b/>
          <w:bCs/>
          <w:i/>
          <w:color w:val="000000"/>
        </w:rPr>
        <w:t>?</w:t>
      </w:r>
    </w:p>
    <w:p w14:paraId="6B50317E" w14:textId="77777777" w:rsidR="008261CB" w:rsidRDefault="008261CB" w:rsidP="008261CB">
      <w:pPr>
        <w:rPr>
          <w:b/>
          <w:i/>
          <w:color w:val="000000"/>
        </w:rPr>
      </w:pPr>
      <w:r>
        <w:rPr>
          <w:b/>
          <w:i/>
          <w:color w:val="000000"/>
        </w:rPr>
        <w:t>Key Points</w:t>
      </w:r>
    </w:p>
    <w:p w14:paraId="7E879499" w14:textId="77777777" w:rsidR="008261CB" w:rsidRPr="00D942A3" w:rsidRDefault="008261CB" w:rsidP="004E6BD9">
      <w:pPr>
        <w:numPr>
          <w:ilvl w:val="0"/>
          <w:numId w:val="42"/>
        </w:numPr>
        <w:spacing w:after="0" w:line="240" w:lineRule="auto"/>
        <w:rPr>
          <w:i/>
          <w:iCs/>
        </w:rPr>
      </w:pPr>
      <w:r>
        <w:t xml:space="preserve">The funding drives the reporting.  </w:t>
      </w:r>
      <w:r w:rsidRPr="00D942A3">
        <w:rPr>
          <w:i/>
          <w:iCs/>
        </w:rPr>
        <w:t>Funding timescales&gt;lack of evaluation&gt;lack of trust&gt;</w:t>
      </w:r>
      <w:r>
        <w:rPr>
          <w:i/>
          <w:iCs/>
        </w:rPr>
        <w:t>need</w:t>
      </w:r>
      <w:r w:rsidRPr="00D942A3">
        <w:rPr>
          <w:i/>
          <w:iCs/>
        </w:rPr>
        <w:t xml:space="preserve"> greater assurance via reporting</w:t>
      </w:r>
    </w:p>
    <w:p w14:paraId="325CAC17" w14:textId="599D1AAD" w:rsidR="008261CB" w:rsidRDefault="008261CB" w:rsidP="004E6BD9">
      <w:pPr>
        <w:numPr>
          <w:ilvl w:val="0"/>
          <w:numId w:val="42"/>
        </w:numPr>
        <w:spacing w:after="0" w:line="240" w:lineRule="auto"/>
      </w:pPr>
      <w:r>
        <w:t>The administrative task to produce Annual Child Poverty Action Reports is onerous, and undermines delivery, development and evaluation of interventions.  A move to a 3-year tackling child poverty strategy would be a more effective and less labour-intensive way of bringing about improvements in this area</w:t>
      </w:r>
      <w:r w:rsidR="00F14752">
        <w:t>.</w:t>
      </w:r>
    </w:p>
    <w:p w14:paraId="07FBB361" w14:textId="5E1D4908" w:rsidR="00F713DA" w:rsidRDefault="00F713DA" w:rsidP="00475982">
      <w:pPr>
        <w:spacing w:line="240" w:lineRule="auto"/>
      </w:pPr>
    </w:p>
    <w:p w14:paraId="2487ABF9" w14:textId="77777777" w:rsidR="00F713DA" w:rsidRDefault="00F713DA" w:rsidP="00475982">
      <w:pPr>
        <w:spacing w:line="240" w:lineRule="auto"/>
      </w:pPr>
    </w:p>
    <w:p w14:paraId="26B3D87B" w14:textId="5C84B176" w:rsidR="00F713DA" w:rsidRDefault="00F713DA" w:rsidP="00475982">
      <w:pPr>
        <w:spacing w:line="240" w:lineRule="auto"/>
      </w:pPr>
    </w:p>
    <w:p w14:paraId="6998E058" w14:textId="28E38010" w:rsidR="00F713DA" w:rsidRDefault="00F713DA" w:rsidP="00475982">
      <w:pPr>
        <w:spacing w:line="240" w:lineRule="auto"/>
      </w:pPr>
    </w:p>
    <w:p w14:paraId="3AB4B576" w14:textId="41A24CEE" w:rsidR="00F713DA" w:rsidRDefault="00F713DA" w:rsidP="00475982">
      <w:pPr>
        <w:spacing w:line="240" w:lineRule="auto"/>
      </w:pPr>
    </w:p>
    <w:p w14:paraId="1435AC7F" w14:textId="77777777" w:rsidR="008261CB" w:rsidRDefault="008261CB" w:rsidP="00475982">
      <w:pPr>
        <w:spacing w:line="240" w:lineRule="auto"/>
        <w:sectPr w:rsidR="008261CB" w:rsidSect="00475982">
          <w:pgSz w:w="11906" w:h="16838"/>
          <w:pgMar w:top="1021" w:right="1021" w:bottom="1021" w:left="1021" w:header="709" w:footer="709" w:gutter="0"/>
          <w:cols w:space="708"/>
          <w:docGrid w:linePitch="360"/>
        </w:sectPr>
      </w:pPr>
    </w:p>
    <w:p w14:paraId="0A6E10DE" w14:textId="7F5A15F2" w:rsidR="00F713DA" w:rsidRDefault="008261CB" w:rsidP="008261CB">
      <w:pPr>
        <w:pStyle w:val="Heading1"/>
      </w:pPr>
      <w:r>
        <w:lastRenderedPageBreak/>
        <w:t>SECTION 1: DATA SHARING</w:t>
      </w:r>
    </w:p>
    <w:p w14:paraId="3E08DB01" w14:textId="77777777" w:rsidR="00F14752" w:rsidRPr="00F14752" w:rsidRDefault="00F14752" w:rsidP="00F14752"/>
    <w:tbl>
      <w:tblPr>
        <w:tblStyle w:val="TableGrid"/>
        <w:tblW w:w="0" w:type="auto"/>
        <w:tblLook w:val="04A0" w:firstRow="1" w:lastRow="0" w:firstColumn="1" w:lastColumn="0" w:noHBand="0" w:noVBand="1"/>
      </w:tblPr>
      <w:tblGrid>
        <w:gridCol w:w="9854"/>
      </w:tblGrid>
      <w:tr w:rsidR="00F14752" w:rsidRPr="00F14752" w14:paraId="0960CEA8" w14:textId="77777777" w:rsidTr="0083500F">
        <w:trPr>
          <w:trHeight w:val="8671"/>
        </w:trPr>
        <w:tc>
          <w:tcPr>
            <w:tcW w:w="9854" w:type="dxa"/>
          </w:tcPr>
          <w:p w14:paraId="284064BB" w14:textId="53305B37" w:rsidR="00F14752" w:rsidRDefault="00F14752" w:rsidP="004A58DC">
            <w:pPr>
              <w:pStyle w:val="Heading2"/>
              <w:outlineLvl w:val="1"/>
            </w:pPr>
            <w:r w:rsidRPr="00F14752">
              <w:t>How do we address barriers in relation to organisational sharing of population and personal data, building on progress made in overcoming such barriers during Covid?  What work is already happening to facilitate data sharing and where might there be opportunities for wider application?</w:t>
            </w:r>
          </w:p>
          <w:p w14:paraId="01283A88" w14:textId="77777777" w:rsidR="00F14752" w:rsidRPr="00F14752" w:rsidRDefault="00F14752" w:rsidP="00F14752"/>
          <w:p w14:paraId="49652516" w14:textId="77777777" w:rsidR="00F14752" w:rsidRPr="00F14752" w:rsidRDefault="00F14752" w:rsidP="004A58DC">
            <w:pPr>
              <w:rPr>
                <w:b/>
                <w:bCs/>
              </w:rPr>
            </w:pPr>
            <w:r w:rsidRPr="00F14752">
              <w:rPr>
                <w:b/>
                <w:bCs/>
              </w:rPr>
              <w:t>Key Points</w:t>
            </w:r>
          </w:p>
          <w:p w14:paraId="484C9DF3" w14:textId="77777777" w:rsidR="00F14752" w:rsidRPr="00F14752" w:rsidRDefault="00F14752" w:rsidP="00A02445">
            <w:pPr>
              <w:pStyle w:val="ListParagraph"/>
              <w:numPr>
                <w:ilvl w:val="0"/>
                <w:numId w:val="43"/>
              </w:numPr>
            </w:pPr>
            <w:r w:rsidRPr="00F14752">
              <w:t>We need better sharing of data in the following areas: Social Security Scotland entitlement data; HMRC/DWP data on household income; data on lived experience; data on debt to statutory organisations such as council tax/water, housing providers, fuel providers and education; and credit rating information</w:t>
            </w:r>
          </w:p>
          <w:p w14:paraId="3E544EC4" w14:textId="4FFE681C" w:rsidR="00F14752" w:rsidRPr="00F14752" w:rsidRDefault="00F14752" w:rsidP="00A02445">
            <w:pPr>
              <w:numPr>
                <w:ilvl w:val="0"/>
                <w:numId w:val="43"/>
              </w:numPr>
            </w:pPr>
            <w:r w:rsidRPr="00F14752">
              <w:t xml:space="preserve">It would be helpful to agree both national principles for what data can be shared and common risk levels in relation to GDPR.  We believe there could be a key role for the Information Commissioner, including a steer on whether the ‘public task’ designation </w:t>
            </w:r>
            <w:r w:rsidR="0047399B" w:rsidRPr="00C37675">
              <w:rPr>
                <w:rFonts w:eastAsia="Times New Roman"/>
              </w:rPr>
              <w:t xml:space="preserve">within the </w:t>
            </w:r>
            <w:hyperlink r:id="rId6" w:history="1">
              <w:r w:rsidR="0047399B">
                <w:rPr>
                  <w:rStyle w:val="Hyperlink"/>
                  <w:rFonts w:eastAsia="Times New Roman"/>
                </w:rPr>
                <w:t>GDPR</w:t>
              </w:r>
            </w:hyperlink>
            <w:r w:rsidR="0047399B">
              <w:rPr>
                <w:rFonts w:eastAsia="Times New Roman"/>
                <w:color w:val="FF0000"/>
              </w:rPr>
              <w:t xml:space="preserve"> </w:t>
            </w:r>
            <w:r w:rsidRPr="00F14752">
              <w:t>could be used collectively for wellbeing</w:t>
            </w:r>
          </w:p>
          <w:p w14:paraId="435E86BA" w14:textId="77777777" w:rsidR="00F14752" w:rsidRPr="00F14752" w:rsidRDefault="00F14752" w:rsidP="00A02445">
            <w:pPr>
              <w:numPr>
                <w:ilvl w:val="0"/>
                <w:numId w:val="43"/>
              </w:numPr>
            </w:pPr>
            <w:r w:rsidRPr="00F14752">
              <w:t>Better integration of data and IT systems is needed to improve referral pathways between health services and income maximisation services in particular, as the current complexity of systems between (and within) organisations prohibits data sharing;</w:t>
            </w:r>
          </w:p>
          <w:p w14:paraId="1C635907" w14:textId="77777777" w:rsidR="00F14752" w:rsidRPr="00F14752" w:rsidRDefault="00F14752" w:rsidP="00A02445">
            <w:pPr>
              <w:numPr>
                <w:ilvl w:val="0"/>
                <w:numId w:val="43"/>
              </w:numPr>
            </w:pPr>
            <w:r w:rsidRPr="00F14752">
              <w:t>If barriers are being unblocked in some places to promote better sharing of HMRC/DWP data (e.g. Glasgow), how can we replicate this in other council areas?</w:t>
            </w:r>
          </w:p>
          <w:p w14:paraId="2A5B11A6" w14:textId="3980D958" w:rsidR="00F14752" w:rsidRPr="00F14752" w:rsidRDefault="00F14752" w:rsidP="00A02445">
            <w:pPr>
              <w:numPr>
                <w:ilvl w:val="0"/>
                <w:numId w:val="43"/>
              </w:numPr>
            </w:pPr>
            <w:r w:rsidRPr="00F14752">
              <w:t>Are there wider application opportunities for the legal gateway and appropriate mechanisms for information sharing being developed in the Social Security pilots, i.e. covered on page 6)</w:t>
            </w:r>
          </w:p>
          <w:p w14:paraId="02C0D850" w14:textId="77777777" w:rsidR="00F14752" w:rsidRPr="00F14752" w:rsidRDefault="00F14752" w:rsidP="00A02445">
            <w:pPr>
              <w:numPr>
                <w:ilvl w:val="0"/>
                <w:numId w:val="43"/>
              </w:numPr>
            </w:pPr>
            <w:r w:rsidRPr="00F14752">
              <w:t xml:space="preserve">Could we negotiate corporate access to software such as MOSAIC and ACORN for service providers to access useful national datasets held by </w:t>
            </w:r>
            <w:proofErr w:type="spellStart"/>
            <w:r w:rsidRPr="00F14752">
              <w:t>Experien</w:t>
            </w:r>
            <w:proofErr w:type="spellEnd"/>
            <w:r w:rsidRPr="00F14752">
              <w:t xml:space="preserve"> and CACI?</w:t>
            </w:r>
          </w:p>
          <w:p w14:paraId="3B3721B8" w14:textId="77777777" w:rsidR="00F14752" w:rsidRPr="00F14752" w:rsidRDefault="00F14752" w:rsidP="00A02445">
            <w:pPr>
              <w:numPr>
                <w:ilvl w:val="0"/>
                <w:numId w:val="43"/>
              </w:numPr>
            </w:pPr>
            <w:r w:rsidRPr="00F14752">
              <w:t>Drawing on the learning in England from SAVVI (scalable approach to vulnerability via interoperability), are there levers in Scotland we could make more use of (e.g. Digital Economy Act)?</w:t>
            </w:r>
          </w:p>
          <w:p w14:paraId="77AF7942" w14:textId="77777777" w:rsidR="00A02445" w:rsidRPr="00A02445" w:rsidRDefault="00A02445" w:rsidP="00A02445">
            <w:pPr>
              <w:pStyle w:val="xmsonormal"/>
              <w:numPr>
                <w:ilvl w:val="0"/>
                <w:numId w:val="43"/>
              </w:numPr>
            </w:pPr>
            <w:r w:rsidRPr="00A02445">
              <w:t>The reliance the statutory sector has on 3</w:t>
            </w:r>
            <w:r w:rsidRPr="00A02445">
              <w:rPr>
                <w:vertAlign w:val="superscript"/>
              </w:rPr>
              <w:t>rd</w:t>
            </w:r>
            <w:r w:rsidRPr="00A02445">
              <w:t xml:space="preserve"> sector service provision is growing, however with so many local and national organisations (given there are circa 40,000) a streamlined </w:t>
            </w:r>
            <w:r>
              <w:t xml:space="preserve">data </w:t>
            </w:r>
            <w:r w:rsidRPr="00A02445">
              <w:t>access route needs to be developed to allow referrals to local and national providers alongside a secure network. Could TSI’s play a role here?</w:t>
            </w:r>
          </w:p>
          <w:p w14:paraId="3AF5F911" w14:textId="4AFFB62D" w:rsidR="00F14752" w:rsidRPr="00F14752" w:rsidRDefault="00F14752" w:rsidP="00A02445">
            <w:pPr>
              <w:numPr>
                <w:ilvl w:val="0"/>
                <w:numId w:val="43"/>
              </w:numPr>
            </w:pPr>
            <w:r w:rsidRPr="00F14752">
              <w:t xml:space="preserve">How could we enable the Third Sector to use MACRO/ big data to identify where their services would be most helpful, rather than public bodies commissioning projects from the third sector all over the place? </w:t>
            </w:r>
          </w:p>
        </w:tc>
      </w:tr>
    </w:tbl>
    <w:p w14:paraId="695B54A7" w14:textId="77777777" w:rsidR="008261CB" w:rsidRDefault="008261CB" w:rsidP="008261CB">
      <w:pPr>
        <w:spacing w:after="0" w:line="240" w:lineRule="auto"/>
        <w:ind w:left="426"/>
      </w:pPr>
    </w:p>
    <w:p w14:paraId="3112FD31" w14:textId="45B3356F" w:rsidR="00091A4D" w:rsidRDefault="00091A4D" w:rsidP="00091A4D">
      <w:pPr>
        <w:spacing w:after="0" w:line="240" w:lineRule="auto"/>
        <w:ind w:left="714"/>
      </w:pPr>
    </w:p>
    <w:p w14:paraId="2894797B" w14:textId="39DC16E4" w:rsidR="004728DA" w:rsidRPr="00D942A3" w:rsidRDefault="001A133F" w:rsidP="00F14752">
      <w:pPr>
        <w:pStyle w:val="Heading2"/>
      </w:pPr>
      <w:r w:rsidRPr="001A133F">
        <w:t>What</w:t>
      </w:r>
      <w:r w:rsidR="00475982" w:rsidRPr="001A133F">
        <w:t xml:space="preserve"> data </w:t>
      </w:r>
      <w:r w:rsidRPr="001A133F">
        <w:t>do we</w:t>
      </w:r>
      <w:r w:rsidR="00475982" w:rsidRPr="001A133F">
        <w:t xml:space="preserve"> want in relation to Child Poverty</w:t>
      </w:r>
      <w:r w:rsidRPr="001A133F">
        <w:t>?</w:t>
      </w:r>
    </w:p>
    <w:p w14:paraId="2DB62023" w14:textId="63052060" w:rsidR="00475982" w:rsidRPr="004728DA" w:rsidRDefault="00475982" w:rsidP="00475982">
      <w:pPr>
        <w:spacing w:line="240" w:lineRule="auto"/>
      </w:pPr>
      <w:r>
        <w:t xml:space="preserve">There are two overlapping ‘levels’ of data that would be useful to better understand and respond to child poverty. Firstly, data and intelligence that helps decision makers understand the scale, nature and location of child poverty at population level. Secondly, data and intelligence about individual children and households experiencing or at risk of poverty to help shape and direct policies and services (e.g. to allow local authorities to contact families known to be at risk of poverty to ensure they are in receipt of all their entitlements). </w:t>
      </w:r>
    </w:p>
    <w:p w14:paraId="2C6FDCE4" w14:textId="7E30B5A9" w:rsidR="00475982" w:rsidRDefault="00475982" w:rsidP="00B44901">
      <w:pPr>
        <w:spacing w:after="0" w:line="240" w:lineRule="auto"/>
      </w:pPr>
      <w:r w:rsidRPr="00A41A4B">
        <w:rPr>
          <w:u w:val="single"/>
        </w:rPr>
        <w:t>Social Security Scotland data</w:t>
      </w:r>
      <w:r>
        <w:br/>
        <w:t xml:space="preserve">Social Security Scotland holds information that could be useful in relation to both of these ‘levels of understanding’. </w:t>
      </w:r>
      <w:r w:rsidRPr="00EA3D6F">
        <w:t xml:space="preserve">In terms of children’s benefits, Social Security Scotland delivers the Scottish Child Payment (available to most households with children in receipt of means tested benefits), Best Start Grant and Best Start Foods (available to households with children in receipt of means tested benefits with income below an established threshold), Child Winter Heating Assistance (available to households with a child on the highest rate care component of Disability Living Allowance). Social Security Scotland are also in the process of rolling </w:t>
      </w:r>
      <w:r w:rsidRPr="00EA3D6F">
        <w:lastRenderedPageBreak/>
        <w:t>out delivery of Child Disability Payment, a payment providing extra money to help with the costs of caring for a child with a disability or ill-health condition. It replaces Disability Living Allowance for children in Scotland.</w:t>
      </w:r>
    </w:p>
    <w:p w14:paraId="5A79ECB2" w14:textId="77777777" w:rsidR="00475982" w:rsidRDefault="00475982" w:rsidP="00B44901">
      <w:pPr>
        <w:spacing w:after="0" w:line="240" w:lineRule="auto"/>
      </w:pPr>
    </w:p>
    <w:p w14:paraId="7841D5ED" w14:textId="7B42F74E" w:rsidR="00475982" w:rsidRDefault="00475982" w:rsidP="00B44901">
      <w:pPr>
        <w:spacing w:after="0" w:line="240" w:lineRule="auto"/>
      </w:pPr>
      <w:r>
        <w:t xml:space="preserve">While Social Security Scotland have committed to moving towards data sharing and automation in the longer term </w:t>
      </w:r>
      <w:r w:rsidRPr="00F14752">
        <w:t xml:space="preserve">(see page </w:t>
      </w:r>
      <w:r w:rsidR="00F14752" w:rsidRPr="00F14752">
        <w:t>6</w:t>
      </w:r>
      <w:r w:rsidRPr="00F14752">
        <w:t>)</w:t>
      </w:r>
      <w:r>
        <w:t xml:space="preserve"> there is a sense that more could be done to ensure relevant information is shared with local authorities. </w:t>
      </w:r>
      <w:r w:rsidRPr="002E57F8">
        <w:t>Finding ways of sharing this information effectively with local authorities would enable them to:</w:t>
      </w:r>
    </w:p>
    <w:p w14:paraId="69CCAD08" w14:textId="77777777" w:rsidR="00B44901" w:rsidRDefault="00B44901" w:rsidP="00B44901">
      <w:pPr>
        <w:spacing w:after="0" w:line="240" w:lineRule="auto"/>
      </w:pPr>
    </w:p>
    <w:p w14:paraId="10B8EC32" w14:textId="77777777" w:rsidR="00475982" w:rsidRPr="002E57F8" w:rsidRDefault="00475982" w:rsidP="004E6BD9">
      <w:pPr>
        <w:numPr>
          <w:ilvl w:val="0"/>
          <w:numId w:val="1"/>
        </w:numPr>
        <w:spacing w:after="0" w:line="240" w:lineRule="auto"/>
      </w:pPr>
      <w:r w:rsidRPr="002E57F8">
        <w:t xml:space="preserve">Build a more accurate understanding of the geographical location of poverty/child poverty in their area in order to target resources and plan services more efficiently. </w:t>
      </w:r>
    </w:p>
    <w:p w14:paraId="214A00D3" w14:textId="77777777" w:rsidR="00475982" w:rsidRDefault="00475982" w:rsidP="004E6BD9">
      <w:pPr>
        <w:numPr>
          <w:ilvl w:val="0"/>
          <w:numId w:val="1"/>
        </w:numPr>
        <w:spacing w:after="0" w:line="240" w:lineRule="auto"/>
      </w:pPr>
      <w:r w:rsidRPr="002E57F8">
        <w:t>Identify households that are likely to be eligible for, but not in receipt of local entitlements such as free school meals, education maintenance grants and council tax reduction. In the absence of systems being developed to automate these payments local authorities could still proactively contact these households to make them aware of their likely entitlement.</w:t>
      </w:r>
    </w:p>
    <w:p w14:paraId="2F0E5D25" w14:textId="77777777" w:rsidR="00475982" w:rsidRPr="002E57F8" w:rsidRDefault="00475982" w:rsidP="004E6BD9">
      <w:pPr>
        <w:numPr>
          <w:ilvl w:val="0"/>
          <w:numId w:val="1"/>
        </w:numPr>
        <w:spacing w:after="0" w:line="240" w:lineRule="auto"/>
      </w:pPr>
      <w:r w:rsidRPr="002E57F8">
        <w:t>Ensure low income households with children were made aware, in a targeted way of the range of wider support they are entitled to. This might include, for example, support through the Parental Employability Support Fund, a funded ELC place for their 2 year old etc.  This would not only assist the relevant families but also help the Scottish Government meet many of its stated policy objectives such as reducing child poverty, reducing the gender pay gap and improving child wellbeing.</w:t>
      </w:r>
    </w:p>
    <w:p w14:paraId="6970EA5D" w14:textId="673C15A3" w:rsidR="00002A9D" w:rsidRDefault="00475982" w:rsidP="004E6BD9">
      <w:pPr>
        <w:numPr>
          <w:ilvl w:val="0"/>
          <w:numId w:val="1"/>
        </w:numPr>
        <w:spacing w:after="0" w:line="240" w:lineRule="auto"/>
      </w:pPr>
      <w:r w:rsidRPr="002E57F8">
        <w:t>Enable local authorities to identify and support families experiencing re-assessment of their entitlements of transitions from one benefit to another (e.g. transitioning from Child Disability Payment to adult PIP)</w:t>
      </w:r>
    </w:p>
    <w:p w14:paraId="071703DB" w14:textId="77777777" w:rsidR="00D942A3" w:rsidRPr="00D942A3" w:rsidRDefault="00D942A3" w:rsidP="00D942A3">
      <w:pPr>
        <w:spacing w:after="0" w:line="240" w:lineRule="auto"/>
        <w:ind w:left="360"/>
      </w:pPr>
    </w:p>
    <w:p w14:paraId="33608CAC" w14:textId="07045442" w:rsidR="00F62C32" w:rsidRPr="00D942A3" w:rsidRDefault="00F62C32" w:rsidP="00F62C32">
      <w:pPr>
        <w:spacing w:line="240" w:lineRule="auto"/>
        <w:rPr>
          <w:rFonts w:cstheme="minorHAnsi"/>
        </w:rPr>
      </w:pPr>
      <w:r w:rsidRPr="00D942A3">
        <w:rPr>
          <w:rFonts w:cstheme="minorHAnsi"/>
          <w:shd w:val="clear" w:color="auto" w:fill="FFFFFF"/>
        </w:rPr>
        <w:t>It would be useful to emphasise the importance of information on lived experience. At a population level, there is a lot of data that is already shared and having more population level data may not necessarily add value to what we know about child poverty in our area. To make a difference to low-income households, it is issues around data sharing at a local/ individual level that will help us more easily join up services across organisations, but national guidance and simplification of processes will be helpful. We are working with the Highland Poverty Action Network to do some work on lived experience which we hope will highlight specific issues for us to address locally.</w:t>
      </w:r>
    </w:p>
    <w:p w14:paraId="6E9A508D" w14:textId="77777777" w:rsidR="00F62C32" w:rsidRPr="00D942A3" w:rsidRDefault="00F62C32" w:rsidP="00F62C32">
      <w:pPr>
        <w:spacing w:line="240" w:lineRule="auto"/>
      </w:pPr>
      <w:r w:rsidRPr="00D942A3">
        <w:t>Data on debt to statutory organisations such as council tax/water, housing providers, fuel providers and even education can give early indication that a situation is getting worse and that extra assistance might be required.</w:t>
      </w:r>
    </w:p>
    <w:p w14:paraId="51A059BE" w14:textId="467334B4" w:rsidR="00475982" w:rsidRDefault="00475982" w:rsidP="00475982">
      <w:pPr>
        <w:spacing w:line="240" w:lineRule="auto"/>
      </w:pPr>
    </w:p>
    <w:p w14:paraId="550F44CE" w14:textId="07005C99" w:rsidR="00F14752" w:rsidRDefault="001A133F" w:rsidP="00F14752">
      <w:pPr>
        <w:pStyle w:val="Heading2"/>
      </w:pPr>
      <w:r>
        <w:t>Where do</w:t>
      </w:r>
      <w:r w:rsidR="00A15F55" w:rsidRPr="00A15F55">
        <w:t xml:space="preserve"> barriers exist in relation to the sharing of this data between partners</w:t>
      </w:r>
      <w:r>
        <w:t>?</w:t>
      </w:r>
      <w:r w:rsidR="00A15F55" w:rsidRPr="00A15F55">
        <w:t> </w:t>
      </w:r>
    </w:p>
    <w:p w14:paraId="33ED1E11" w14:textId="77777777" w:rsidR="00F14752" w:rsidRPr="00F14752" w:rsidRDefault="00F14752" w:rsidP="00F14752"/>
    <w:p w14:paraId="40AD5386" w14:textId="153D8207" w:rsidR="00CF47E5" w:rsidRPr="00D942A3" w:rsidRDefault="004901C2" w:rsidP="004E6BD9">
      <w:pPr>
        <w:pStyle w:val="ListParagraph"/>
        <w:numPr>
          <w:ilvl w:val="0"/>
          <w:numId w:val="37"/>
        </w:numPr>
        <w:rPr>
          <w:b/>
          <w:bCs/>
        </w:rPr>
      </w:pPr>
      <w:r w:rsidRPr="00D942A3">
        <w:rPr>
          <w:b/>
          <w:bCs/>
        </w:rPr>
        <w:t>GDPR and u</w:t>
      </w:r>
      <w:r w:rsidR="00CF47E5" w:rsidRPr="00D942A3">
        <w:rPr>
          <w:b/>
          <w:bCs/>
        </w:rPr>
        <w:t xml:space="preserve">ncertainty </w:t>
      </w:r>
      <w:r w:rsidRPr="00D942A3">
        <w:rPr>
          <w:b/>
          <w:bCs/>
        </w:rPr>
        <w:t>over what</w:t>
      </w:r>
      <w:r w:rsidR="00CF47E5" w:rsidRPr="00D942A3">
        <w:rPr>
          <w:b/>
          <w:bCs/>
        </w:rPr>
        <w:t xml:space="preserve"> information can be shared</w:t>
      </w:r>
      <w:r w:rsidR="001A133F" w:rsidRPr="001A133F">
        <w:t xml:space="preserve"> </w:t>
      </w:r>
      <w:r w:rsidR="001A133F">
        <w:t>(within/between organisations)</w:t>
      </w:r>
    </w:p>
    <w:p w14:paraId="3F1428C9" w14:textId="4D4B0372" w:rsidR="00475982" w:rsidRDefault="00475982" w:rsidP="00475982">
      <w:pPr>
        <w:spacing w:line="240" w:lineRule="auto"/>
      </w:pPr>
      <w:r>
        <w:t xml:space="preserve">Work with local child poverty leads suggests that there is some uncertainty about what information local authorities can share internally between social work, housing, homelessness, council tax reduction, housing benefit, education (free school meals, school clothing grant and education maintenance allowance recipients), Scottish welfare fund applicants, crisis grant applicants, etc within GDPR/information governance restrictions. There is a fear generally that if the information hasn’t been submitted for the reasons of being able to target advice services, benefits etc. then it can’t be used for anything other than those particular purposes.  However, in the past the Information Commissioner has said that if services have concerns around welfare, neglect or safeguarding then information can be shared, but this doesn’t seem to have been reflected in local approaches, and legal departments tend to be risk averse, so don’t look at how this can be done.  </w:t>
      </w:r>
    </w:p>
    <w:p w14:paraId="20E46255" w14:textId="7AA7E733" w:rsidR="00475982" w:rsidRPr="001A133F" w:rsidRDefault="00475982" w:rsidP="00475982">
      <w:pPr>
        <w:spacing w:line="240" w:lineRule="auto"/>
        <w:rPr>
          <w:rFonts w:eastAsia="Times New Roman" w:cstheme="minorHAnsi"/>
          <w:color w:val="0563C1" w:themeColor="hyperlink"/>
          <w:u w:val="single"/>
          <w:lang w:eastAsia="en-GB"/>
        </w:rPr>
      </w:pPr>
      <w:r>
        <w:t xml:space="preserve">A cursory look at information around the </w:t>
      </w:r>
      <w:hyperlink r:id="rId7" w:anchor="public-service-delivery" w:history="1">
        <w:r w:rsidRPr="007A7C5B">
          <w:rPr>
            <w:rStyle w:val="Hyperlink"/>
          </w:rPr>
          <w:t xml:space="preserve">code of practice on the Digital Economy Act </w:t>
        </w:r>
      </w:hyperlink>
      <w:r>
        <w:t xml:space="preserve"> and </w:t>
      </w:r>
      <w:hyperlink r:id="rId8" w:history="1">
        <w:r w:rsidRPr="007A7C5B">
          <w:rPr>
            <w:rStyle w:val="Hyperlink"/>
          </w:rPr>
          <w:t>codes of practice on the Information Commissioners Office</w:t>
        </w:r>
      </w:hyperlink>
      <w:r>
        <w:t xml:space="preserve"> website suggest that public services can share information under condition 1 of the public sector delivery power of the Digital Economy Act. Condition </w:t>
      </w:r>
      <w:r>
        <w:rPr>
          <w:rFonts w:eastAsia="Times New Roman" w:cstheme="minorHAnsi"/>
          <w:color w:val="0B0C0C"/>
          <w:lang w:eastAsia="en-GB"/>
        </w:rPr>
        <w:t xml:space="preserve">1 is that </w:t>
      </w:r>
      <w:r w:rsidRPr="004F6405">
        <w:rPr>
          <w:rFonts w:eastAsia="Times New Roman" w:cstheme="minorHAnsi"/>
          <w:color w:val="0B0C0C"/>
          <w:lang w:eastAsia="en-GB"/>
        </w:rPr>
        <w:t>the purpose is the improvement or targeting of a public service provided to individuals or households, or the facilitation of the provision of a benefit (whether or not financia</w:t>
      </w:r>
      <w:r>
        <w:rPr>
          <w:rFonts w:eastAsia="Times New Roman" w:cstheme="minorHAnsi"/>
          <w:color w:val="0B0C0C"/>
          <w:lang w:eastAsia="en-GB"/>
        </w:rPr>
        <w:t>l) to individuals or households.</w:t>
      </w:r>
      <w:r w:rsidRPr="00A41A4B">
        <w:t xml:space="preserve"> </w:t>
      </w:r>
      <w:r w:rsidRPr="00A41A4B">
        <w:rPr>
          <w:rFonts w:eastAsia="Times New Roman" w:cstheme="minorHAnsi"/>
          <w:color w:val="0B0C0C"/>
          <w:lang w:eastAsia="en-GB"/>
        </w:rPr>
        <w:t xml:space="preserve">We have not looked into this in any depth and as to whether there are any different Scottish Regulations, but it does seem that the ability is there, but officers are not aware of what can be done (excerpts are set out at </w:t>
      </w:r>
      <w:hyperlink w:anchor="_Annexe_1" w:history="1">
        <w:r w:rsidRPr="0098370F">
          <w:rPr>
            <w:rStyle w:val="Hyperlink"/>
            <w:rFonts w:eastAsia="Times New Roman" w:cstheme="minorHAnsi"/>
            <w:lang w:eastAsia="en-GB"/>
          </w:rPr>
          <w:t>Annex 1).</w:t>
        </w:r>
      </w:hyperlink>
    </w:p>
    <w:p w14:paraId="3CC55DAF" w14:textId="77777777" w:rsidR="001A133F" w:rsidRPr="00D942A3" w:rsidRDefault="001A133F" w:rsidP="001A133F">
      <w:pPr>
        <w:spacing w:line="240" w:lineRule="auto"/>
      </w:pPr>
      <w:r w:rsidRPr="00D942A3">
        <w:lastRenderedPageBreak/>
        <w:t>The level of data sharing and the data shared is often the problem.  Agreement to share limited contact details when someone hits a specific limit can allow other organisations to increase targeting of specific services for vulnerable people/families.  It is important that we do not overshare and that privacy is respected so sharing does not have to give a detailed reason. Can we negotiate with the data commissioner whether ‘public task’ designation could/should be used for a wider range of sharing for wellbeing and harm reduction?</w:t>
      </w:r>
    </w:p>
    <w:p w14:paraId="38B2C1E6" w14:textId="77777777" w:rsidR="001A133F" w:rsidRDefault="001A133F" w:rsidP="00475982">
      <w:pPr>
        <w:spacing w:line="240" w:lineRule="auto"/>
      </w:pPr>
    </w:p>
    <w:p w14:paraId="6640F965" w14:textId="6A2C6CAD" w:rsidR="009F1C70" w:rsidRPr="00D942A3" w:rsidRDefault="009F1C70" w:rsidP="004E6BD9">
      <w:pPr>
        <w:pStyle w:val="ListParagraph"/>
        <w:numPr>
          <w:ilvl w:val="0"/>
          <w:numId w:val="37"/>
        </w:numPr>
        <w:rPr>
          <w:b/>
          <w:bCs/>
        </w:rPr>
      </w:pPr>
      <w:r w:rsidRPr="00D942A3">
        <w:rPr>
          <w:b/>
          <w:bCs/>
        </w:rPr>
        <w:t xml:space="preserve">System Integration - </w:t>
      </w:r>
      <w:r w:rsidR="00321AC9" w:rsidRPr="00D942A3">
        <w:rPr>
          <w:b/>
          <w:bCs/>
        </w:rPr>
        <w:t>j</w:t>
      </w:r>
      <w:r w:rsidRPr="00D942A3">
        <w:rPr>
          <w:b/>
          <w:bCs/>
        </w:rPr>
        <w:t>oined up working &amp; referral pathways</w:t>
      </w:r>
    </w:p>
    <w:p w14:paraId="63885CA0" w14:textId="0E0C3CA5" w:rsidR="00321AC9" w:rsidRPr="00D942A3" w:rsidRDefault="00321AC9" w:rsidP="00321AC9">
      <w:pPr>
        <w:spacing w:line="240" w:lineRule="auto"/>
      </w:pPr>
      <w:r w:rsidRPr="00D942A3">
        <w:t>The lack of single national systems that talk to each other creates barriers for joined up working</w:t>
      </w:r>
      <w:r w:rsidR="00D942A3">
        <w:t xml:space="preserve"> and data sharing</w:t>
      </w:r>
      <w:r w:rsidRPr="00D942A3">
        <w:t>.</w:t>
      </w:r>
    </w:p>
    <w:p w14:paraId="6CAF92F9" w14:textId="3EA99B53" w:rsidR="00F713DA" w:rsidRDefault="00F713DA" w:rsidP="008261CB">
      <w:pPr>
        <w:pStyle w:val="Heading2"/>
        <w:pBdr>
          <w:top w:val="single" w:sz="4" w:space="1" w:color="auto"/>
          <w:left w:val="single" w:sz="4" w:space="4" w:color="auto"/>
          <w:bottom w:val="single" w:sz="4" w:space="1" w:color="auto"/>
          <w:right w:val="single" w:sz="4" w:space="4" w:color="auto"/>
        </w:pBdr>
      </w:pPr>
      <w:r>
        <w:t xml:space="preserve">Case Study </w:t>
      </w:r>
      <w:r w:rsidR="008261CB">
        <w:t>from</w:t>
      </w:r>
      <w:r>
        <w:t xml:space="preserve"> NHS Highland</w:t>
      </w:r>
    </w:p>
    <w:p w14:paraId="1EE21A3C" w14:textId="31037516" w:rsidR="00475982" w:rsidRPr="00D942A3" w:rsidRDefault="00475982" w:rsidP="008261CB">
      <w:pPr>
        <w:pBdr>
          <w:top w:val="single" w:sz="4" w:space="1" w:color="auto"/>
          <w:left w:val="single" w:sz="4" w:space="4" w:color="auto"/>
          <w:bottom w:val="single" w:sz="4" w:space="1" w:color="auto"/>
          <w:right w:val="single" w:sz="4" w:space="4" w:color="auto"/>
        </w:pBdr>
        <w:spacing w:line="240" w:lineRule="auto"/>
        <w:rPr>
          <w:rFonts w:cstheme="minorHAnsi"/>
        </w:rPr>
      </w:pPr>
      <w:r w:rsidRPr="00D942A3">
        <w:rPr>
          <w:rFonts w:cstheme="minorHAnsi"/>
        </w:rPr>
        <w:t>Data sharing is a real barrier in relation to getting referral pathways between health services and income maximisation services.  Non-health services also find this an issue. On the whole, our systems are not set up for joined up working and referring people from health to non-health care support. When we have been able to develop such pathways, it seems overly complicated.  For example, we were able to do this with the Community Link Worker service but only because we invested in an IT solution that integrated with the GP Vision system. </w:t>
      </w:r>
    </w:p>
    <w:p w14:paraId="421B8ADF" w14:textId="3E7EA7D3" w:rsidR="00475982" w:rsidRPr="00D942A3" w:rsidRDefault="00475982" w:rsidP="008261CB">
      <w:pPr>
        <w:pBdr>
          <w:top w:val="single" w:sz="4" w:space="1" w:color="auto"/>
          <w:left w:val="single" w:sz="4" w:space="4" w:color="auto"/>
          <w:bottom w:val="single" w:sz="4" w:space="1" w:color="auto"/>
          <w:right w:val="single" w:sz="4" w:space="4" w:color="auto"/>
        </w:pBdr>
        <w:spacing w:line="240" w:lineRule="auto"/>
        <w:rPr>
          <w:rFonts w:cstheme="minorHAnsi"/>
        </w:rPr>
      </w:pPr>
      <w:r w:rsidRPr="00D942A3">
        <w:rPr>
          <w:rFonts w:cstheme="minorHAnsi"/>
        </w:rPr>
        <w:t>Given the number of information systems we have to work with, it seems overly complicated to get a 'social' referral integrated within our systems.  Without this, it is unlikely that we will get change on the required scale to link people from health into income maximisation services. Multiply this across the numerous partnership systems and the barriers becomes obvious. </w:t>
      </w:r>
    </w:p>
    <w:p w14:paraId="0A5F18D7" w14:textId="1BF90D04" w:rsidR="00475982" w:rsidRPr="00D942A3" w:rsidRDefault="00475982" w:rsidP="008261CB">
      <w:pPr>
        <w:pBdr>
          <w:top w:val="single" w:sz="4" w:space="1" w:color="auto"/>
          <w:left w:val="single" w:sz="4" w:space="4" w:color="auto"/>
          <w:bottom w:val="single" w:sz="4" w:space="1" w:color="auto"/>
          <w:right w:val="single" w:sz="4" w:space="4" w:color="auto"/>
        </w:pBdr>
        <w:spacing w:line="240" w:lineRule="auto"/>
        <w:rPr>
          <w:rFonts w:cstheme="minorHAnsi"/>
        </w:rPr>
      </w:pPr>
      <w:r w:rsidRPr="00D942A3">
        <w:rPr>
          <w:rFonts w:cstheme="minorHAnsi"/>
        </w:rPr>
        <w:t>As an example, we did some work to try to embed a direct referral route from pregnant women to the council</w:t>
      </w:r>
      <w:r w:rsidRPr="00D942A3">
        <w:rPr>
          <w:rFonts w:cstheme="minorHAnsi"/>
          <w:shd w:val="clear" w:color="auto" w:fill="FFFFFF"/>
        </w:rPr>
        <w:t xml:space="preserve"> welfare support team through a simple email request embedded within </w:t>
      </w:r>
      <w:proofErr w:type="spellStart"/>
      <w:r w:rsidRPr="00D942A3">
        <w:rPr>
          <w:rFonts w:cstheme="minorHAnsi"/>
          <w:shd w:val="clear" w:color="auto" w:fill="FFFFFF"/>
        </w:rPr>
        <w:t>Badgernet</w:t>
      </w:r>
      <w:proofErr w:type="spellEnd"/>
      <w:r w:rsidRPr="00D942A3">
        <w:rPr>
          <w:rFonts w:cstheme="minorHAnsi"/>
          <w:shd w:val="clear" w:color="auto" w:fill="FFFFFF"/>
        </w:rPr>
        <w:t>. Despite this seeming to happen in other health boards, we consistently received information that this could not be done as the email details would be shared. Referrals can still be made, but only through advising the person to make a self-referral.  We know that this results in far fewer people taking up the opportunity to get income maximisation advice.  This highlights the differences in interpretation of information sharing guidance and we agree that more needs to be done to get a consistent approach to information sharing within and across organisations.</w:t>
      </w:r>
    </w:p>
    <w:p w14:paraId="239A0AEE" w14:textId="7223599A" w:rsidR="00475982" w:rsidRPr="00D942A3" w:rsidRDefault="00475982" w:rsidP="008261CB">
      <w:pPr>
        <w:pBdr>
          <w:top w:val="single" w:sz="4" w:space="1" w:color="auto"/>
          <w:left w:val="single" w:sz="4" w:space="4" w:color="auto"/>
          <w:bottom w:val="single" w:sz="4" w:space="1" w:color="auto"/>
          <w:right w:val="single" w:sz="4" w:space="4" w:color="auto"/>
        </w:pBdr>
        <w:spacing w:line="240" w:lineRule="auto"/>
        <w:rPr>
          <w:rFonts w:cstheme="minorHAnsi"/>
        </w:rPr>
      </w:pPr>
      <w:r w:rsidRPr="00D942A3">
        <w:rPr>
          <w:rFonts w:cstheme="minorHAnsi"/>
          <w:shd w:val="clear" w:color="auto" w:fill="FFFFFF"/>
        </w:rPr>
        <w:t>We have also been working with the Council's income maximisation service to introduce income maximisation workers in GP practices. We have just secured SG funding for this and will be working through the process of how we embed workers in GP practices and systems to make the referral pathway as seamless as possible. We are just starting the work on information sharing agreement.</w:t>
      </w:r>
    </w:p>
    <w:p w14:paraId="787E72BE" w14:textId="0636C47D" w:rsidR="00152317" w:rsidRPr="00D942A3" w:rsidRDefault="00475982" w:rsidP="008261CB">
      <w:pPr>
        <w:pBdr>
          <w:top w:val="single" w:sz="4" w:space="1" w:color="auto"/>
          <w:left w:val="single" w:sz="4" w:space="4" w:color="auto"/>
          <w:bottom w:val="single" w:sz="4" w:space="1" w:color="auto"/>
          <w:right w:val="single" w:sz="4" w:space="4" w:color="auto"/>
        </w:pBdr>
        <w:spacing w:line="240" w:lineRule="auto"/>
        <w:rPr>
          <w:rFonts w:cstheme="minorHAnsi"/>
          <w:shd w:val="clear" w:color="auto" w:fill="FFFFFF"/>
        </w:rPr>
      </w:pPr>
      <w:r w:rsidRPr="00D942A3">
        <w:rPr>
          <w:rFonts w:cstheme="minorHAnsi"/>
          <w:shd w:val="clear" w:color="auto" w:fill="FFFFFF"/>
        </w:rPr>
        <w:t>Anything that would make information sharing more streamlined would be helpful. It takes a lot of time and effort to get individual data sharing agreements in place and although we understand that stringent data protection needs to be in place, there seems to be more than a few examples of where the process gets in the way of helping people get the support they need.</w:t>
      </w:r>
    </w:p>
    <w:p w14:paraId="2DFFE308" w14:textId="77777777" w:rsidR="004901C2" w:rsidRDefault="004901C2" w:rsidP="004901C2">
      <w:pPr>
        <w:spacing w:line="240" w:lineRule="auto"/>
        <w:rPr>
          <w:color w:val="385623" w:themeColor="accent6" w:themeShade="80"/>
        </w:rPr>
      </w:pPr>
    </w:p>
    <w:p w14:paraId="4CB56B51" w14:textId="68BB65BF" w:rsidR="004901C2" w:rsidRPr="00D942A3" w:rsidRDefault="001A133F" w:rsidP="004E6BD9">
      <w:pPr>
        <w:pStyle w:val="ListParagraph"/>
        <w:numPr>
          <w:ilvl w:val="0"/>
          <w:numId w:val="37"/>
        </w:numPr>
        <w:rPr>
          <w:b/>
          <w:bCs/>
        </w:rPr>
      </w:pPr>
      <w:r w:rsidRPr="00D942A3">
        <w:rPr>
          <w:b/>
          <w:bCs/>
        </w:rPr>
        <w:t>Costs associated with accessing national datasets</w:t>
      </w:r>
    </w:p>
    <w:p w14:paraId="66E2F237" w14:textId="77777777" w:rsidR="004901C2" w:rsidRPr="00D942A3" w:rsidRDefault="004901C2" w:rsidP="004901C2">
      <w:pPr>
        <w:spacing w:line="240" w:lineRule="auto"/>
      </w:pPr>
      <w:r w:rsidRPr="00D942A3">
        <w:t>Companies such as Experian and CACI provide population data that can provide insights to help partnerships understand and respond to their demographic.  The software used, MOSAIC and ACORN can be purchased and it would be beneficial if corporate access was negotiated for service providers in Scotland.  The data is primarily used for marketing however for that the providers need to know credit ratings (income), age and gender demographics and language to name but a few.  It is open data, but with a cost.</w:t>
      </w:r>
    </w:p>
    <w:p w14:paraId="263CF86A" w14:textId="667204BD" w:rsidR="00152317" w:rsidRDefault="00152317" w:rsidP="00475982">
      <w:pPr>
        <w:spacing w:line="240" w:lineRule="auto"/>
        <w:rPr>
          <w:color w:val="385623" w:themeColor="accent6" w:themeShade="80"/>
        </w:rPr>
      </w:pPr>
    </w:p>
    <w:p w14:paraId="3F2CB3D5" w14:textId="30FBBECF" w:rsidR="00F14752" w:rsidRDefault="00F14752" w:rsidP="00475982">
      <w:pPr>
        <w:spacing w:line="240" w:lineRule="auto"/>
        <w:rPr>
          <w:color w:val="385623" w:themeColor="accent6" w:themeShade="80"/>
        </w:rPr>
      </w:pPr>
    </w:p>
    <w:p w14:paraId="44D3C92A" w14:textId="0BD9326B" w:rsidR="00F14752" w:rsidRDefault="00F14752" w:rsidP="00475982">
      <w:pPr>
        <w:spacing w:line="240" w:lineRule="auto"/>
        <w:rPr>
          <w:color w:val="385623" w:themeColor="accent6" w:themeShade="80"/>
        </w:rPr>
      </w:pPr>
    </w:p>
    <w:p w14:paraId="266FE467" w14:textId="77777777" w:rsidR="00F14752" w:rsidRDefault="00F14752" w:rsidP="00475982">
      <w:pPr>
        <w:spacing w:line="240" w:lineRule="auto"/>
        <w:rPr>
          <w:color w:val="385623" w:themeColor="accent6" w:themeShade="80"/>
        </w:rPr>
      </w:pPr>
    </w:p>
    <w:p w14:paraId="2A4F2C43" w14:textId="54FA9B34" w:rsidR="00321AC9" w:rsidRDefault="001A133F" w:rsidP="00F14752">
      <w:pPr>
        <w:pStyle w:val="Heading2"/>
      </w:pPr>
      <w:r>
        <w:lastRenderedPageBreak/>
        <w:t>Where</w:t>
      </w:r>
      <w:r w:rsidR="00152317" w:rsidRPr="00152317">
        <w:t xml:space="preserve"> is work already happening to facilitate data sharing and where may </w:t>
      </w:r>
      <w:r w:rsidR="00D942A3">
        <w:t xml:space="preserve">there </w:t>
      </w:r>
      <w:r w:rsidR="00152317" w:rsidRPr="00152317">
        <w:t>be opportunities for wider applicability</w:t>
      </w:r>
      <w:r w:rsidR="00D942A3">
        <w:t>?</w:t>
      </w:r>
    </w:p>
    <w:p w14:paraId="2D2102B7" w14:textId="77777777" w:rsidR="00F14752" w:rsidRPr="00F14752" w:rsidRDefault="00F14752" w:rsidP="00F14752"/>
    <w:p w14:paraId="74667E21" w14:textId="77777777" w:rsidR="00321AC9" w:rsidRPr="00FB610B" w:rsidRDefault="00321AC9" w:rsidP="004E6BD9">
      <w:pPr>
        <w:pStyle w:val="ListParagraph"/>
        <w:numPr>
          <w:ilvl w:val="0"/>
          <w:numId w:val="38"/>
        </w:numPr>
        <w:rPr>
          <w:u w:val="single"/>
        </w:rPr>
      </w:pPr>
      <w:r w:rsidRPr="00FB610B">
        <w:rPr>
          <w:u w:val="single"/>
        </w:rPr>
        <w:t>Social Security Scotland Data</w:t>
      </w:r>
    </w:p>
    <w:p w14:paraId="1B01B39F" w14:textId="4932C162" w:rsidR="00321AC9" w:rsidRDefault="00321AC9" w:rsidP="00321AC9">
      <w:r>
        <w:t xml:space="preserve">The </w:t>
      </w:r>
      <w:r w:rsidR="00FB610B">
        <w:t>IS</w:t>
      </w:r>
      <w:r>
        <w:t xml:space="preserve"> has been working with the Child Poverty Action Group (CPAG) to bring relevant parties (including the Scottish Government, Social Security Scotland, COSLA, North Ayrshire Council and Glasgow City Council) together to discuss the obstacles to sharing information on Scottish Child Payment claimants with local authorities to enable efficient targeting of wider local benefits and supports (such as Free School Meals, School Clothing Grants, Education Maintenance Allowance, employability support, income maximisation advice etc.). This was in response to repeated calls from the Local Child Poverty Leads Peer Support network for more information from Social Security Scotland to allow them to better target services and entitlements. </w:t>
      </w:r>
      <w:r>
        <w:br/>
      </w:r>
      <w:r>
        <w:br/>
        <w:t xml:space="preserve">All parties are currently working to identify a legal gateway and appropriate mechanisms for information sharing to allow for the initiation of pilot initiatives.  </w:t>
      </w:r>
    </w:p>
    <w:p w14:paraId="2B54A983" w14:textId="77777777" w:rsidR="00321AC9" w:rsidRDefault="00321AC9" w:rsidP="00321AC9">
      <w:pPr>
        <w:contextualSpacing/>
      </w:pPr>
      <w:r>
        <w:t xml:space="preserve">Given the range of benefits it delivers Social Security Scotland holds information about which households in Scotland are at highest risk of experiencing child poverty. Sharing this information with local authorities would help to ensure low income households with children were made aware, in a targeted way of the range of wider support they are entitled to. This might include, for example, support through the Parental Employability Support Fund or Whole Family Wellbeing Funding. </w:t>
      </w:r>
    </w:p>
    <w:p w14:paraId="69F7DCC1" w14:textId="77777777" w:rsidR="00321AC9" w:rsidRDefault="00321AC9" w:rsidP="00321AC9">
      <w:pPr>
        <w:contextualSpacing/>
      </w:pPr>
    </w:p>
    <w:p w14:paraId="64DCD3F8" w14:textId="77777777" w:rsidR="00321AC9" w:rsidRDefault="00321AC9" w:rsidP="00321AC9">
      <w:pPr>
        <w:contextualSpacing/>
      </w:pPr>
      <w:r>
        <w:t xml:space="preserve">The councils in turn could then share relevant information about entitlement to locally administered benefits with Social Security Scotland and could potentially identify where people who have made an application to the Scottish Welfare Fund but haven’t applied for Scottish Child Payment. </w:t>
      </w:r>
      <w:r>
        <w:br/>
      </w:r>
    </w:p>
    <w:p w14:paraId="4E2732FD" w14:textId="17305565" w:rsidR="009F1C70" w:rsidRDefault="00321AC9" w:rsidP="00F6272E">
      <w:pPr>
        <w:contextualSpacing/>
      </w:pPr>
      <w:r>
        <w:t>This would not only assist the relevant families but also help the Scottish Government meet many of its stated policy objectives such as reducing child poverty, reducing the gender pay gap and improving child wellbeing.</w:t>
      </w:r>
    </w:p>
    <w:p w14:paraId="3448BFEF" w14:textId="77777777" w:rsidR="00F6272E" w:rsidRPr="00F6272E" w:rsidRDefault="00F6272E" w:rsidP="00F6272E">
      <w:pPr>
        <w:contextualSpacing/>
      </w:pPr>
    </w:p>
    <w:p w14:paraId="760DAFD4" w14:textId="77777777" w:rsidR="00321AC9" w:rsidRPr="00965592" w:rsidRDefault="00321AC9" w:rsidP="00321AC9">
      <w:r>
        <w:t>Social Security Scotland made a statement in May 2021 about developing automatic entitlement to benefits:</w:t>
      </w:r>
    </w:p>
    <w:p w14:paraId="061F4EDB" w14:textId="77777777" w:rsidR="00321AC9" w:rsidRPr="008C4DE6" w:rsidRDefault="00321AC9" w:rsidP="00321AC9">
      <w:pPr>
        <w:rPr>
          <w:i/>
          <w:iCs/>
        </w:rPr>
      </w:pPr>
      <w:r w:rsidRPr="008C4DE6">
        <w:rPr>
          <w:i/>
          <w:iCs/>
        </w:rPr>
        <w:t>‘Social Security Scotland is committed to ensuring that accessing entitlements from other agencies is as seamless as possible for clients.</w:t>
      </w:r>
    </w:p>
    <w:p w14:paraId="7A20DE54" w14:textId="77777777" w:rsidR="00321AC9" w:rsidRPr="008C4DE6" w:rsidRDefault="00321AC9" w:rsidP="00321AC9">
      <w:pPr>
        <w:rPr>
          <w:i/>
          <w:iCs/>
        </w:rPr>
      </w:pPr>
      <w:r w:rsidRPr="008C4DE6">
        <w:rPr>
          <w:i/>
          <w:iCs/>
        </w:rPr>
        <w:t xml:space="preserve">When clients move to Scottish Disability Benefits our plans will ensure that the entitlements they currently receive as a result of their existing DWP benefits continue, such as Council Tax Reduction and Blue Badge entitlement. We are implementing information sharing processes with the accessible Vehicle and Equipment provider to ensure this is the case. Also, our Certificate of Entitlement for Blue Badge will ensure clients can easily apply for this entitlement too with a certificate from Social Security Scotland which proves their eligibility. </w:t>
      </w:r>
    </w:p>
    <w:p w14:paraId="59FE3440" w14:textId="77777777" w:rsidR="00321AC9" w:rsidRPr="008C4DE6" w:rsidRDefault="00321AC9" w:rsidP="00321AC9">
      <w:pPr>
        <w:rPr>
          <w:i/>
          <w:iCs/>
        </w:rPr>
      </w:pPr>
      <w:r w:rsidRPr="008C4DE6">
        <w:rPr>
          <w:i/>
          <w:iCs/>
        </w:rPr>
        <w:t>It is our intention to build multiple data sharing solutions, including a Portal, which will enable other agencies to access relevant benefit information which they can then use to determine eligibility for other entitlements such as council tax reduction. This service will also have the capability to broadcast changes to interested agencies, where there is a business justification to do so, in order for them to update any entitlements as a result of a change of circumstances.</w:t>
      </w:r>
    </w:p>
    <w:p w14:paraId="08275F48" w14:textId="77777777" w:rsidR="00321AC9" w:rsidRPr="008C4DE6" w:rsidRDefault="00321AC9" w:rsidP="00321AC9">
      <w:pPr>
        <w:rPr>
          <w:i/>
          <w:iCs/>
        </w:rPr>
      </w:pPr>
      <w:r w:rsidRPr="008C4DE6">
        <w:rPr>
          <w:i/>
          <w:iCs/>
        </w:rPr>
        <w:t>Our long term ambition is to make access to other entitlements automatic to clients at the point of benefit award. This would mean, for example, that through information sharing with the relevant agencies, once a disability award has been made by Social Security Scotland, this information can be passed to the relevant agencies to then automatically provide other entitlements that clients are eligible for.</w:t>
      </w:r>
    </w:p>
    <w:p w14:paraId="697F1370" w14:textId="77777777" w:rsidR="00321AC9" w:rsidRPr="008C4DE6" w:rsidRDefault="00321AC9" w:rsidP="00321AC9">
      <w:pPr>
        <w:rPr>
          <w:i/>
          <w:iCs/>
        </w:rPr>
      </w:pPr>
      <w:r w:rsidRPr="008C4DE6">
        <w:rPr>
          <w:i/>
          <w:iCs/>
        </w:rPr>
        <w:lastRenderedPageBreak/>
        <w:t xml:space="preserve">In relation to education benefits, inclusive of Free School Meals, School Clothing Grant and Education Maintenance Allowance, the Scottish Government has committed to exploring how eligibility for the Scottish Child Payment might allow local authorities to automate these entitlements, based on the above approach, following the roll out of SCP to under 16s by the end of 2022. </w:t>
      </w:r>
    </w:p>
    <w:p w14:paraId="4B199810" w14:textId="77777777" w:rsidR="00321AC9" w:rsidRPr="0098370F" w:rsidRDefault="00321AC9" w:rsidP="00321AC9">
      <w:pPr>
        <w:rPr>
          <w:i/>
          <w:iCs/>
        </w:rPr>
      </w:pPr>
      <w:r w:rsidRPr="008C4DE6">
        <w:rPr>
          <w:i/>
          <w:iCs/>
        </w:rPr>
        <w:t>Scottish Government officials are also actively engaging with DWP on approaches to enable use of existing DWP data held by local authorities for the purposes of awarding education benefits. This work is ongoing in order to determine appropriate regulations to enable this to happen and local authorities / COSLA will be appraised of progress in due course.’</w:t>
      </w:r>
    </w:p>
    <w:p w14:paraId="0C280327" w14:textId="77777777" w:rsidR="00321AC9" w:rsidRDefault="00321AC9" w:rsidP="00475982">
      <w:pPr>
        <w:spacing w:line="240" w:lineRule="auto"/>
        <w:rPr>
          <w:color w:val="385623" w:themeColor="accent6" w:themeShade="80"/>
        </w:rPr>
      </w:pPr>
    </w:p>
    <w:p w14:paraId="5E372B0B" w14:textId="2CC18050" w:rsidR="009F1C70" w:rsidRPr="00FB610B" w:rsidRDefault="009F1C70" w:rsidP="004E6BD9">
      <w:pPr>
        <w:pStyle w:val="ListParagraph"/>
        <w:numPr>
          <w:ilvl w:val="0"/>
          <w:numId w:val="38"/>
        </w:numPr>
        <w:rPr>
          <w:u w:val="single"/>
        </w:rPr>
      </w:pPr>
      <w:r w:rsidRPr="00FB610B">
        <w:rPr>
          <w:u w:val="single"/>
        </w:rPr>
        <w:t>HMRC/DWP data</w:t>
      </w:r>
    </w:p>
    <w:p w14:paraId="50DBED73" w14:textId="1DD8B46D" w:rsidR="009F1C70" w:rsidRDefault="009F1C70" w:rsidP="009F1C70">
      <w:pPr>
        <w:spacing w:line="240" w:lineRule="auto"/>
      </w:pPr>
      <w:r>
        <w:t>Glasgow City Council has</w:t>
      </w:r>
      <w:r w:rsidR="00321AC9">
        <w:t xml:space="preserve"> </w:t>
      </w:r>
      <w:r>
        <w:t xml:space="preserve">received permission from the UK Government to use DWP/HMRC information relating to household income for research purposes. In response, Glasgow City Council, in partnership with the Centre for Civic Innovation have done an exceptional </w:t>
      </w:r>
      <w:hyperlink r:id="rId9" w:history="1">
        <w:r w:rsidRPr="000723E5">
          <w:rPr>
            <w:rStyle w:val="Hyperlink"/>
          </w:rPr>
          <w:t>piece of work</w:t>
        </w:r>
      </w:hyperlink>
      <w:r>
        <w:t xml:space="preserve">, combining DWP/HMRC data with </w:t>
      </w:r>
      <w:proofErr w:type="spellStart"/>
      <w:r>
        <w:t>SEeMis</w:t>
      </w:r>
      <w:proofErr w:type="spellEnd"/>
      <w:r>
        <w:t xml:space="preserve"> data to map the level, location and depth of child poverty across Glasgow. This includes information on how rates of poverty vary across the priority groups. The incredibly rich and granular nature of this household level data has allowed Glasgow to make more informed, evidence based decisions and target its services (Such as FISO) more effectively.  However, they cannot use the data to explicitly target individual households and engage directly with them. </w:t>
      </w:r>
      <w:r>
        <w:br/>
      </w:r>
      <w:r>
        <w:br/>
        <w:t>In terms of using DWP/HMRC information to proactively contact low income household, some progress has recently been made on this as a result of legislation making its way through the UK Parliament which will allow local authorities to use HMRC/DWP data to identify and contact households which are entitled to but not currently accessing a free childcare place for their two year old. It is intended</w:t>
      </w:r>
      <w:r w:rsidRPr="00B7769B">
        <w:rPr>
          <w:lang w:val="en"/>
        </w:rPr>
        <w:t xml:space="preserve"> “</w:t>
      </w:r>
      <w:r w:rsidRPr="00B7769B">
        <w:rPr>
          <w:i/>
          <w:lang w:val="en"/>
        </w:rPr>
        <w:t>to enable data sharing between HMRC, DWP, the Scottish Government and Scottish local authorities in order to help identify and contact households that are eligible for funded early learning and childcare (ELC) for 2 year olds in Scotland</w:t>
      </w:r>
      <w:r w:rsidRPr="00B7769B">
        <w:rPr>
          <w:lang w:val="en"/>
        </w:rPr>
        <w:t>.”</w:t>
      </w:r>
      <w:r>
        <w:t xml:space="preserve"> </w:t>
      </w:r>
    </w:p>
    <w:p w14:paraId="5FDAECE4" w14:textId="413FD790" w:rsidR="00965592" w:rsidRDefault="009F1C70" w:rsidP="009F1C70">
      <w:pPr>
        <w:spacing w:line="240" w:lineRule="auto"/>
        <w:rPr>
          <w:u w:val="single"/>
        </w:rPr>
      </w:pPr>
      <w:r w:rsidRPr="00226BC0">
        <w:rPr>
          <w:u w:val="single"/>
        </w:rPr>
        <w:t xml:space="preserve">This raises a question of why such an approach could not be taken (with or without further legislation) to maximise uptake of wider local and Scottish benefits. </w:t>
      </w:r>
    </w:p>
    <w:p w14:paraId="493D7957" w14:textId="77777777" w:rsidR="008261CB" w:rsidRDefault="008261CB" w:rsidP="009F1C70">
      <w:pPr>
        <w:spacing w:line="240" w:lineRule="auto"/>
        <w:rPr>
          <w:u w:val="single"/>
        </w:rPr>
      </w:pPr>
    </w:p>
    <w:p w14:paraId="11E100FB" w14:textId="39CDADF1" w:rsidR="00FB610B" w:rsidRPr="00FB610B" w:rsidRDefault="00965592" w:rsidP="004E6BD9">
      <w:pPr>
        <w:pStyle w:val="ListParagraph"/>
        <w:numPr>
          <w:ilvl w:val="0"/>
          <w:numId w:val="38"/>
        </w:numPr>
        <w:rPr>
          <w:u w:val="single"/>
        </w:rPr>
      </w:pPr>
      <w:r w:rsidRPr="00FB610B">
        <w:rPr>
          <w:u w:val="single"/>
        </w:rPr>
        <w:t xml:space="preserve">EVOC: </w:t>
      </w:r>
    </w:p>
    <w:p w14:paraId="6D1D4FDA" w14:textId="78692EC0" w:rsidR="00965592" w:rsidRPr="00FB610B" w:rsidRDefault="00FB3B9D" w:rsidP="00965592">
      <w:r>
        <w:t>EVOC is</w:t>
      </w:r>
      <w:r w:rsidR="00965592" w:rsidRPr="00FB610B">
        <w:t xml:space="preserve"> currently working with 10+ org</w:t>
      </w:r>
      <w:r>
        <w:t>anisation</w:t>
      </w:r>
      <w:r w:rsidR="00965592" w:rsidRPr="00FB610B">
        <w:t>s across Edinburgh who work in the CYP</w:t>
      </w:r>
      <w:r w:rsidR="00F713DA">
        <w:t xml:space="preserve"> </w:t>
      </w:r>
      <w:r w:rsidR="00965592" w:rsidRPr="00FB610B">
        <w:t>&amp;</w:t>
      </w:r>
      <w:r w:rsidR="00F713DA">
        <w:t xml:space="preserve"> </w:t>
      </w:r>
      <w:r w:rsidR="00965592" w:rsidRPr="00FB610B">
        <w:t xml:space="preserve">Families theme to refresh an existing Data Sharing Agreement (2016) and expand it to included City of Edinburgh Council. DPIAs, followed by TSI supported inclusion of as many third sector agencies as possible within an all-encompassing DSA to cover the breadth of handling personal data (usually manifesting itself in referrals, sharing info for a child’s plan) across the NHSL/CEC/Third sector </w:t>
      </w:r>
      <w:r>
        <w:t>is an example of good practice</w:t>
      </w:r>
      <w:r w:rsidR="00965592" w:rsidRPr="00FB610B">
        <w:t xml:space="preserve">. </w:t>
      </w:r>
      <w:r>
        <w:t>There is a</w:t>
      </w:r>
      <w:r w:rsidR="00965592" w:rsidRPr="00FB610B">
        <w:t xml:space="preserve">lso liaison with SG re GIRFEC refresh. NHSL and CEC Data Sharing officers engaged and </w:t>
      </w:r>
      <w:r>
        <w:t>helped EVOC</w:t>
      </w:r>
      <w:r w:rsidR="00965592" w:rsidRPr="00FB610B">
        <w:t xml:space="preserve"> integrate both public bodies into the one DSA through the regional data sharing infrastructure. </w:t>
      </w:r>
      <w:r>
        <w:t>EVOC</w:t>
      </w:r>
      <w:r w:rsidR="00965592" w:rsidRPr="00FB610B">
        <w:t xml:space="preserve"> anticipate over 40+ signatories from across</w:t>
      </w:r>
      <w:r>
        <w:t xml:space="preserve"> the</w:t>
      </w:r>
      <w:r w:rsidR="00965592" w:rsidRPr="00FB610B">
        <w:t xml:space="preserve"> third sector</w:t>
      </w:r>
      <w:r>
        <w:t xml:space="preserve"> by autumn</w:t>
      </w:r>
      <w:r w:rsidR="00965592" w:rsidRPr="00FB610B">
        <w:t>.</w:t>
      </w:r>
    </w:p>
    <w:p w14:paraId="297923B6" w14:textId="01B8AA60" w:rsidR="00965592" w:rsidRPr="00FB610B" w:rsidRDefault="00FB3B9D" w:rsidP="00965592">
      <w:r>
        <w:t>An i</w:t>
      </w:r>
      <w:r w:rsidR="00965592" w:rsidRPr="00FB610B">
        <w:t xml:space="preserve">mportant point </w:t>
      </w:r>
      <w:r>
        <w:t>to note</w:t>
      </w:r>
      <w:r w:rsidRPr="00FB610B">
        <w:t xml:space="preserve"> </w:t>
      </w:r>
      <w:r w:rsidR="00965592" w:rsidRPr="00FB610B">
        <w:t xml:space="preserve">is that whilst </w:t>
      </w:r>
      <w:r>
        <w:t>EVOC</w:t>
      </w:r>
      <w:r w:rsidRPr="00FB610B">
        <w:t xml:space="preserve"> </w:t>
      </w:r>
      <w:r w:rsidR="00965592" w:rsidRPr="00FB610B">
        <w:t xml:space="preserve">can do the all of the work to get the 40+ signatories alongside CEC and NHSL, </w:t>
      </w:r>
      <w:r w:rsidR="0029153A">
        <w:t>it</w:t>
      </w:r>
      <w:r w:rsidR="0029153A" w:rsidRPr="00FB610B">
        <w:t xml:space="preserve"> </w:t>
      </w:r>
      <w:r w:rsidR="00965592" w:rsidRPr="00FB610B">
        <w:t xml:space="preserve">cannot guarantee their day to day practice as it is their governance and knowledge/skills that delivers on the actions in the DSA. </w:t>
      </w:r>
      <w:r w:rsidR="0029153A">
        <w:t>What EVOC</w:t>
      </w:r>
      <w:r w:rsidR="00965592" w:rsidRPr="00FB610B">
        <w:t xml:space="preserve"> can do is require mandatory training before they can sign up and provide a self-audit tool for their practice and policies to improve and be as compliant as is possible.</w:t>
      </w:r>
    </w:p>
    <w:p w14:paraId="16172749" w14:textId="77777777" w:rsidR="00965592" w:rsidRDefault="00965592" w:rsidP="00965592"/>
    <w:p w14:paraId="56183BC6" w14:textId="7E66EFB7" w:rsidR="00FB610B" w:rsidRPr="00FB610B" w:rsidRDefault="00FB610B" w:rsidP="004E6BD9">
      <w:pPr>
        <w:pStyle w:val="ListParagraph"/>
        <w:numPr>
          <w:ilvl w:val="0"/>
          <w:numId w:val="38"/>
        </w:numPr>
        <w:rPr>
          <w:u w:val="single"/>
        </w:rPr>
      </w:pPr>
      <w:r w:rsidRPr="00FB610B">
        <w:rPr>
          <w:u w:val="single"/>
        </w:rPr>
        <w:t>SAVVI</w:t>
      </w:r>
    </w:p>
    <w:p w14:paraId="36F9BE1D" w14:textId="2E2B819D" w:rsidR="00965592" w:rsidRDefault="00965592" w:rsidP="00965592">
      <w:r>
        <w:t xml:space="preserve">In England there is the SAVVI (scalable approach to vulnerability via interoperability) approach </w:t>
      </w:r>
      <w:hyperlink r:id="rId10" w:history="1">
        <w:r w:rsidRPr="0085631C">
          <w:rPr>
            <w:rStyle w:val="Hyperlink"/>
          </w:rPr>
          <w:t>https://istanduk.org/savvi/</w:t>
        </w:r>
      </w:hyperlink>
      <w:r>
        <w:t xml:space="preserve"> which seeks to identify vulnerable people and households, </w:t>
      </w:r>
      <w:r w:rsidRPr="00324789">
        <w:t>and then lead a multi-agency, and community response to assessing needs and providing support and interventions.</w:t>
      </w:r>
      <w:r>
        <w:t xml:space="preserve">  This has developed from the approaches during COVID to share information and target those who needed support.  It </w:t>
      </w:r>
      <w:r>
        <w:lastRenderedPageBreak/>
        <w:t xml:space="preserve">seeks to identify the data and standards that can improve how local councils can find vulnerable people and households, using both council data but also exploring data held by Government agencies.  They have looked at Information Governance and identified similar issues to those outlined in the rural child poverty workshops that we have undertaken, including around the legal basis for sharing, risk appetites and different interpretations of the legal gateways for sharing data.  They have shared DWP templates for accessing data as an example, similar to what Social Security Scotland have suggested be completed for access to the Scottish Child Payment information.  </w:t>
      </w:r>
    </w:p>
    <w:p w14:paraId="362366EE" w14:textId="77777777" w:rsidR="00321AC9" w:rsidRPr="004373E5" w:rsidRDefault="00321AC9" w:rsidP="00321AC9">
      <w:r w:rsidRPr="004373E5">
        <w:t xml:space="preserve">The main barrier which the examples outlined above seem to be focussed on is around information governance.  Organisations are not confident about what information they are allowed to share under GDPR legislation and as mentioned before tend to be risk averse in this regard, erring on the side of caution, when they should be focussed on addressing barriers to supporting families with children living in poverty.  </w:t>
      </w:r>
    </w:p>
    <w:p w14:paraId="07307DD9" w14:textId="77777777" w:rsidR="00321AC9" w:rsidRPr="004373E5" w:rsidRDefault="00321AC9" w:rsidP="00321AC9">
      <w:r w:rsidRPr="004373E5">
        <w:t xml:space="preserve">The SAVVI project has looked at this in detail, but only in regard to English law.  There could be opportunities to use what they have developed and check this under Scots law.  There could also opportunities to use the Digital Economy Act to help break down some of the barriers to information sharing.  </w:t>
      </w:r>
    </w:p>
    <w:p w14:paraId="734FF798" w14:textId="2F15E60C" w:rsidR="00321AC9" w:rsidRDefault="00321AC9" w:rsidP="00965592">
      <w:r>
        <w:t xml:space="preserve">Following on from IS work with rural local authorities, Perth and Kinross is currently exploring the possibility of working with SAVVI to identify new and existing avenues for data sharing relevant to tackling child poverty. </w:t>
      </w:r>
    </w:p>
    <w:p w14:paraId="76272582" w14:textId="77777777" w:rsidR="00FB610B" w:rsidRDefault="00FB610B" w:rsidP="00965592"/>
    <w:p w14:paraId="0F4A1D80" w14:textId="05BBF7DB" w:rsidR="00FB610B" w:rsidRPr="00FB610B" w:rsidRDefault="00FB610B" w:rsidP="004E6BD9">
      <w:pPr>
        <w:pStyle w:val="ListParagraph"/>
        <w:numPr>
          <w:ilvl w:val="0"/>
          <w:numId w:val="38"/>
        </w:numPr>
        <w:rPr>
          <w:u w:val="single"/>
        </w:rPr>
      </w:pPr>
      <w:r w:rsidRPr="00FB610B">
        <w:rPr>
          <w:u w:val="single"/>
        </w:rPr>
        <w:t>Lifting Families Together Project &amp; Glasgow/Dundee Pathfinders</w:t>
      </w:r>
    </w:p>
    <w:p w14:paraId="5DDA88B7" w14:textId="56D6F38C" w:rsidR="00321AC9" w:rsidRDefault="00321AC9" w:rsidP="00FB610B">
      <w:r>
        <w:t xml:space="preserve">The Local Child Poverty Action Reports showcase innovative examples of service delivery which rely on a more proactive approach to sharing information about families. See for example, </w:t>
      </w:r>
      <w:r w:rsidRPr="004F6405">
        <w:t xml:space="preserve">the Lifting Families Together project in Edinburgh </w:t>
      </w:r>
      <w:r w:rsidRPr="00FB610B">
        <w:rPr>
          <w:color w:val="1F497D"/>
        </w:rPr>
        <w:t xml:space="preserve">-  </w:t>
      </w:r>
      <w:hyperlink r:id="rId11" w:tgtFrame="_blank" w:history="1">
        <w:r>
          <w:rPr>
            <w:rStyle w:val="Hyperlink"/>
          </w:rPr>
          <w:t>https://youtu.be/X6oV_ojM5PM</w:t>
        </w:r>
      </w:hyperlink>
      <w:r w:rsidRPr="00FB610B">
        <w:rPr>
          <w:color w:val="1F497D"/>
        </w:rPr>
        <w:t xml:space="preserve"> . </w:t>
      </w:r>
      <w:r w:rsidRPr="004F6405">
        <w:t>It is a 5-year test of change that seeks to remove silos and develop a multidisciplinary neighbourhood team offering holistic and long term support for people to lift themselves out of poverty. The Scottish Government has also committed to fund Pathfinder</w:t>
      </w:r>
      <w:r>
        <w:t>s</w:t>
      </w:r>
      <w:r w:rsidRPr="004F6405">
        <w:t xml:space="preserve"> in Glasgow and Dundee (</w:t>
      </w:r>
      <w:r>
        <w:t>a</w:t>
      </w:r>
      <w:r w:rsidRPr="004F6405">
        <w:t>nd several areas yet to be identified) to take a more joined up, whole systems approach to tackling child poverty. It is likely that the Improvement Service and other national partners will have a role in supporting this work.</w:t>
      </w:r>
    </w:p>
    <w:p w14:paraId="7DC53824" w14:textId="1207AE73" w:rsidR="00321AC9" w:rsidRDefault="00321AC9" w:rsidP="00321AC9"/>
    <w:p w14:paraId="5EA1F389" w14:textId="724B937D" w:rsidR="00FB610B" w:rsidRDefault="00722218" w:rsidP="004E6BD9">
      <w:pPr>
        <w:pStyle w:val="ListParagraph"/>
        <w:numPr>
          <w:ilvl w:val="0"/>
          <w:numId w:val="38"/>
        </w:numPr>
      </w:pPr>
      <w:hyperlink r:id="rId12" w:history="1">
        <w:r w:rsidR="00FB610B" w:rsidRPr="00D77FD6">
          <w:rPr>
            <w:rStyle w:val="Hyperlink"/>
          </w:rPr>
          <w:t>Prioritise Child Poverty: A Data and Systems Approach</w:t>
        </w:r>
      </w:hyperlink>
    </w:p>
    <w:p w14:paraId="0AEB4BEE" w14:textId="5D2322A2" w:rsidR="00321AC9" w:rsidRDefault="00321AC9" w:rsidP="00FB610B">
      <w:r>
        <w:t xml:space="preserve">Public Health Scotland has developed this tool to support local areas identify relevant data sources and also develop pathways for sharing relevant data between different departments and organisations. It was piloted in Inverclyde and is currently being used to support data sharing in Dumfries and Galloway. </w:t>
      </w:r>
    </w:p>
    <w:p w14:paraId="59DF0931" w14:textId="340028B5" w:rsidR="00965592" w:rsidRDefault="00965592" w:rsidP="00965592"/>
    <w:p w14:paraId="1AD7AD2C" w14:textId="1B195082" w:rsidR="00FB610B" w:rsidRPr="00C62CB6" w:rsidRDefault="00FB610B" w:rsidP="004E6BD9">
      <w:pPr>
        <w:pStyle w:val="ListParagraph"/>
        <w:numPr>
          <w:ilvl w:val="0"/>
          <w:numId w:val="38"/>
        </w:numPr>
        <w:rPr>
          <w:u w:val="single"/>
        </w:rPr>
      </w:pPr>
      <w:r w:rsidRPr="00C62CB6">
        <w:rPr>
          <w:u w:val="single"/>
        </w:rPr>
        <w:t>Police Scotland – sharing data at a MACRO level</w:t>
      </w:r>
    </w:p>
    <w:p w14:paraId="4260E434" w14:textId="79544076" w:rsidR="004901C2" w:rsidRPr="00FB610B" w:rsidRDefault="004901C2" w:rsidP="00FB610B">
      <w:r w:rsidRPr="00FB610B">
        <w:t xml:space="preserve">Police Scotland are hosting a workshop with </w:t>
      </w:r>
      <w:r w:rsidR="005414BD">
        <w:t>their</w:t>
      </w:r>
      <w:r w:rsidR="005414BD" w:rsidRPr="00FB610B">
        <w:t xml:space="preserve"> </w:t>
      </w:r>
      <w:r w:rsidRPr="00FB610B">
        <w:t xml:space="preserve">data and IT specialists and colleagues in Public Health initially to consider how </w:t>
      </w:r>
      <w:r w:rsidR="005414BD">
        <w:t>they</w:t>
      </w:r>
      <w:r w:rsidR="005414BD" w:rsidRPr="00FB610B">
        <w:t xml:space="preserve"> </w:t>
      </w:r>
      <w:r w:rsidRPr="00FB610B">
        <w:t xml:space="preserve">can share data at a MACRO level.  However, data security is of huge importance to partners and levels of data security/risk vary across partners.  An agreed common platform needs to be established with risk levels that all organisations can agree on.  Once data is shared it can be forwarded to other organisations by the new data owners.  Can </w:t>
      </w:r>
      <w:r w:rsidR="005414BD">
        <w:t>the public sector as a whole</w:t>
      </w:r>
      <w:r w:rsidR="005414BD" w:rsidRPr="00FB610B">
        <w:t xml:space="preserve"> </w:t>
      </w:r>
      <w:r w:rsidRPr="00FB610B">
        <w:t>negotiate with the data commissioner whether ‘public task’ designation could/should be used for a wider range of sharing for wellbeing and harm reduction?</w:t>
      </w:r>
    </w:p>
    <w:p w14:paraId="1A1F82B3" w14:textId="3039E568" w:rsidR="004901C2" w:rsidRPr="00FB610B" w:rsidRDefault="004901C2" w:rsidP="004901C2">
      <w:pPr>
        <w:spacing w:line="240" w:lineRule="auto"/>
      </w:pPr>
      <w:r w:rsidRPr="00FB610B">
        <w:t xml:space="preserve">Police have been proactive in working with LA’s to create a standardised data sharing agreement that aims to provide as much as </w:t>
      </w:r>
      <w:r w:rsidR="005414BD">
        <w:t>they</w:t>
      </w:r>
      <w:r w:rsidR="005414BD" w:rsidRPr="00FB610B">
        <w:t xml:space="preserve"> </w:t>
      </w:r>
      <w:r w:rsidRPr="00FB610B">
        <w:t>can for normal circumstances, however even this has faced challenges.</w:t>
      </w:r>
    </w:p>
    <w:p w14:paraId="628137DE" w14:textId="65F80F29" w:rsidR="00965592" w:rsidRDefault="00965592" w:rsidP="00965592"/>
    <w:p w14:paraId="786A81D7" w14:textId="77777777" w:rsidR="00F6272E" w:rsidRDefault="00F6272E" w:rsidP="00965592"/>
    <w:p w14:paraId="3ADD3845" w14:textId="77777777" w:rsidR="00E14296" w:rsidRPr="005529BA" w:rsidRDefault="00E14296" w:rsidP="00E14296">
      <w:pPr>
        <w:pStyle w:val="ListParagraph"/>
        <w:numPr>
          <w:ilvl w:val="0"/>
          <w:numId w:val="38"/>
        </w:numPr>
        <w:rPr>
          <w:rStyle w:val="normaltextrun"/>
          <w:rFonts w:cstheme="minorHAnsi"/>
          <w:u w:val="single"/>
        </w:rPr>
      </w:pPr>
      <w:r w:rsidRPr="005529BA">
        <w:rPr>
          <w:rStyle w:val="normaltextrun"/>
          <w:rFonts w:asciiTheme="minorHAnsi" w:hAnsiTheme="minorHAnsi" w:cstheme="minorHAnsi"/>
          <w:color w:val="000000"/>
          <w:u w:val="single"/>
          <w:shd w:val="clear" w:color="auto" w:fill="FFFFFF"/>
        </w:rPr>
        <w:lastRenderedPageBreak/>
        <w:t>PHS Child Poverty – Inverclyde Pilot</w:t>
      </w:r>
    </w:p>
    <w:p w14:paraId="1998E46D" w14:textId="23D9C181" w:rsidR="00E14296" w:rsidRDefault="00E14296" w:rsidP="00E14296">
      <w:pPr>
        <w:rPr>
          <w:rFonts w:cstheme="minorHAnsi"/>
        </w:rPr>
      </w:pPr>
      <w:r w:rsidRPr="00E14296">
        <w:rPr>
          <w:rStyle w:val="normaltextrun"/>
          <w:rFonts w:cstheme="minorHAnsi"/>
          <w:color w:val="000000"/>
          <w:shd w:val="clear" w:color="auto" w:fill="FFFFFF"/>
        </w:rPr>
        <w:t xml:space="preserve">PHS </w:t>
      </w:r>
      <w:r w:rsidRPr="00E14296">
        <w:rPr>
          <w:rFonts w:cstheme="minorHAnsi"/>
        </w:rPr>
        <w:t xml:space="preserve">created a suite of resources to help local areas better use data to shape local priorities to reduce child poverty. </w:t>
      </w:r>
      <w:r w:rsidRPr="00E14296">
        <w:rPr>
          <w:rStyle w:val="normaltextrun"/>
          <w:rFonts w:cstheme="minorHAnsi"/>
          <w:color w:val="000000"/>
          <w:shd w:val="clear" w:color="auto" w:fill="FFFFFF"/>
        </w:rPr>
        <w:t xml:space="preserve">In September 2021 PHS </w:t>
      </w:r>
      <w:hyperlink r:id="rId13" w:tgtFrame="_blank" w:history="1">
        <w:r w:rsidRPr="00E14296">
          <w:rPr>
            <w:rStyle w:val="normaltextrun"/>
            <w:rFonts w:cstheme="minorHAnsi"/>
            <w:color w:val="0563C1"/>
            <w:u w:val="single"/>
            <w:shd w:val="clear" w:color="auto" w:fill="FFFFFF"/>
          </w:rPr>
          <w:t>published</w:t>
        </w:r>
      </w:hyperlink>
      <w:r w:rsidRPr="00E14296">
        <w:rPr>
          <w:rStyle w:val="normaltextrun"/>
          <w:rFonts w:cstheme="minorHAnsi"/>
          <w:color w:val="000000"/>
          <w:shd w:val="clear" w:color="auto" w:fill="FFFFFF"/>
        </w:rPr>
        <w:t xml:space="preserve"> a toolkit for local areas with a number of resources designed to support data-informed decisions being made about how best to support families and prevent child poverty.  This is the result of a project with Inverclyde Council where we worked together to build up a better picture of what the local child poverty system looked like in Inverclyde, what data was being captured and how it could be used to best support local families. The work helped local partners think about how they might better collaborate, and apply a child poverty lens to local service provision, to prevent and reduce child poverty. The approach, which is brought to life in a </w:t>
      </w:r>
      <w:hyperlink r:id="rId14" w:tgtFrame="_blank" w:history="1">
        <w:r w:rsidRPr="00E14296">
          <w:rPr>
            <w:rStyle w:val="normaltextrun"/>
            <w:rFonts w:cstheme="minorHAnsi"/>
            <w:color w:val="0563C1"/>
            <w:u w:val="single"/>
            <w:shd w:val="clear" w:color="auto" w:fill="FFFFFF"/>
          </w:rPr>
          <w:t>short animation</w:t>
        </w:r>
      </w:hyperlink>
      <w:r w:rsidRPr="00E14296">
        <w:rPr>
          <w:rStyle w:val="normaltextrun"/>
          <w:rFonts w:cstheme="minorHAnsi"/>
          <w:color w:val="000000"/>
          <w:shd w:val="clear" w:color="auto" w:fill="FFFFFF"/>
        </w:rPr>
        <w:t xml:space="preserve">, brought together participants from a wide range of local services in Inverclyde with a role to play in the lives of low income families. A range of local authority (and NHS staff) have had a short introduction, via a webinar, to the work that took place in Inverclyde. </w:t>
      </w:r>
      <w:r w:rsidRPr="00E14296">
        <w:rPr>
          <w:rFonts w:cstheme="minorHAnsi"/>
        </w:rPr>
        <w:t>Using the tools, in collaboration with partners, local areas can increase their understanding about child poverty locally and use this insight to make data-informed decisions about how best to support families and prevent them from being locked into poverty.</w:t>
      </w:r>
    </w:p>
    <w:p w14:paraId="7B3B0FCA" w14:textId="77777777" w:rsidR="005529BA" w:rsidRPr="00E14296" w:rsidRDefault="005529BA" w:rsidP="00E14296">
      <w:pPr>
        <w:rPr>
          <w:rFonts w:cstheme="minorHAnsi"/>
        </w:rPr>
      </w:pPr>
    </w:p>
    <w:p w14:paraId="08133509" w14:textId="7DF71C5C" w:rsidR="00965592" w:rsidRPr="005529BA" w:rsidRDefault="00722218" w:rsidP="00E14296">
      <w:pPr>
        <w:pStyle w:val="ListParagraph"/>
        <w:numPr>
          <w:ilvl w:val="0"/>
          <w:numId w:val="38"/>
        </w:numPr>
        <w:rPr>
          <w:u w:val="single"/>
        </w:rPr>
      </w:pPr>
      <w:hyperlink r:id="rId15" w:history="1">
        <w:r w:rsidR="00E14296" w:rsidRPr="005529BA">
          <w:rPr>
            <w:rStyle w:val="Hyperlink"/>
          </w:rPr>
          <w:t xml:space="preserve">SDS </w:t>
        </w:r>
        <w:r w:rsidR="005529BA" w:rsidRPr="005529BA">
          <w:rPr>
            <w:rStyle w:val="Hyperlink"/>
          </w:rPr>
          <w:t xml:space="preserve">16+ </w:t>
        </w:r>
        <w:r w:rsidR="00E14296" w:rsidRPr="005529BA">
          <w:rPr>
            <w:rStyle w:val="Hyperlink"/>
          </w:rPr>
          <w:t>Data Hub</w:t>
        </w:r>
      </w:hyperlink>
    </w:p>
    <w:p w14:paraId="6F77DAF0" w14:textId="418FEDA0" w:rsidR="00E14296" w:rsidRDefault="00E14296" w:rsidP="00E14296">
      <w:r>
        <w:t xml:space="preserve">By sharing </w:t>
      </w:r>
      <w:r w:rsidR="005529BA">
        <w:t>multiparty data</w:t>
      </w:r>
      <w:r>
        <w:t xml:space="preserve"> among key partners, SDS provide tailored support to young people when they leave school, specifically those who are not moving on to learning or work.</w:t>
      </w:r>
      <w:r w:rsidR="005529BA">
        <w:t xml:space="preserve">  The Data Hub links up the work going on across Scotland to help our young people find positive, sustained destinations after their secondary school education. </w:t>
      </w:r>
    </w:p>
    <w:p w14:paraId="0460AF56" w14:textId="3D682832" w:rsidR="009F1C70" w:rsidRDefault="009F1C70" w:rsidP="009F1C70">
      <w:pPr>
        <w:spacing w:line="240" w:lineRule="auto"/>
        <w:rPr>
          <w:u w:val="single"/>
        </w:rPr>
      </w:pPr>
      <w:r>
        <w:rPr>
          <w:noProof/>
          <w:lang w:eastAsia="en-GB"/>
        </w:rPr>
        <w:lastRenderedPageBreak/>
        <mc:AlternateContent>
          <mc:Choice Requires="wps">
            <w:drawing>
              <wp:anchor distT="45720" distB="45720" distL="114300" distR="114300" simplePos="0" relativeHeight="251664384" behindDoc="0" locked="0" layoutInCell="1" allowOverlap="1" wp14:anchorId="408A9852" wp14:editId="20026452">
                <wp:simplePos x="0" y="0"/>
                <wp:positionH relativeFrom="margin">
                  <wp:posOffset>0</wp:posOffset>
                </wp:positionH>
                <wp:positionV relativeFrom="paragraph">
                  <wp:posOffset>311785</wp:posOffset>
                </wp:positionV>
                <wp:extent cx="6448425" cy="770572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7705725"/>
                        </a:xfrm>
                        <a:prstGeom prst="rect">
                          <a:avLst/>
                        </a:prstGeom>
                        <a:solidFill>
                          <a:srgbClr val="FFFFFF"/>
                        </a:solidFill>
                        <a:ln w="9525">
                          <a:solidFill>
                            <a:srgbClr val="000000"/>
                          </a:solidFill>
                          <a:miter lim="800000"/>
                          <a:headEnd/>
                          <a:tailEnd/>
                        </a:ln>
                      </wps:spPr>
                      <wps:txbx>
                        <w:txbxContent>
                          <w:p w14:paraId="620322D4" w14:textId="77777777" w:rsidR="009F1C70" w:rsidRDefault="009F1C70" w:rsidP="009F1C70">
                            <w:pPr>
                              <w:spacing w:after="0"/>
                            </w:pPr>
                            <w:r w:rsidRPr="00A41A4B">
                              <w:rPr>
                                <w:u w:val="single"/>
                              </w:rPr>
                              <w:t>Exploring barriers to data sharing</w:t>
                            </w:r>
                            <w:r>
                              <w:br/>
                              <w:t xml:space="preserve">With funding provided by the Scottish Government’s Scottish Rural Network, the Improvement Service has taken a design approach to understanding and seeking to overcome some of the key difficulties remote, rural and island authorities face in relation to child poverty data and intelligence. Over the course of four workshops in May and June 2022 (our ‘intelligence sprint’) the group – which consisted of local child poverty and data leads - identified 20 Draft ‘Solutions’, many of which are likely relevant to all local authorities and their community planning partners. </w:t>
                            </w:r>
                          </w:p>
                          <w:p w14:paraId="2D5C0DD6" w14:textId="77777777" w:rsidR="009F1C70" w:rsidRDefault="009F1C70" w:rsidP="009F1C70">
                            <w:pPr>
                              <w:spacing w:after="0"/>
                              <w:rPr>
                                <w:color w:val="FF0000"/>
                              </w:rPr>
                            </w:pPr>
                            <w:r>
                              <w:br/>
                              <w:t>While the</w:t>
                            </w:r>
                            <w:r w:rsidRPr="00A4756A">
                              <w:rPr>
                                <w:color w:val="FF0000"/>
                              </w:rPr>
                              <w:t xml:space="preserve"> </w:t>
                            </w:r>
                            <w:r w:rsidRPr="008635C2">
                              <w:rPr>
                                <w:color w:val="FF0000"/>
                                <w:u w:val="single"/>
                              </w:rPr>
                              <w:t>draft</w:t>
                            </w:r>
                            <w:r w:rsidRPr="00A4756A">
                              <w:rPr>
                                <w:color w:val="FF0000"/>
                              </w:rPr>
                              <w:t xml:space="preserve"> </w:t>
                            </w:r>
                            <w:r>
                              <w:t xml:space="preserve">solutions are currently being considered by the child poverty and data and intelligence leads involved in the intelligence sprint – and therefore subject to change – all 20 are included in </w:t>
                            </w:r>
                            <w:hyperlink w:anchor="_ANNEX_II" w:history="1">
                              <w:r w:rsidRPr="0098370F">
                                <w:rPr>
                                  <w:rStyle w:val="Hyperlink"/>
                                </w:rPr>
                                <w:t>ANNEX II</w:t>
                              </w:r>
                            </w:hyperlink>
                            <w:r>
                              <w:t xml:space="preserve">). </w:t>
                            </w:r>
                            <w:r w:rsidRPr="008635C2">
                              <w:rPr>
                                <w:color w:val="FF0000"/>
                              </w:rPr>
                              <w:t xml:space="preserve">We would ask you not to share these draft recommendations until they have been signed off by the rural leads. </w:t>
                            </w:r>
                          </w:p>
                          <w:p w14:paraId="3F8B9705" w14:textId="77777777" w:rsidR="009F1C70" w:rsidRDefault="009F1C70" w:rsidP="009F1C70">
                            <w:pPr>
                              <w:spacing w:after="0"/>
                              <w:rPr>
                                <w:color w:val="FF0000"/>
                              </w:rPr>
                            </w:pPr>
                          </w:p>
                          <w:p w14:paraId="692D7135" w14:textId="77777777" w:rsidR="009F1C70" w:rsidRPr="00B44901" w:rsidRDefault="009F1C70" w:rsidP="009F1C70">
                            <w:pPr>
                              <w:spacing w:after="0"/>
                              <w:rPr>
                                <w:color w:val="FF0000"/>
                              </w:rPr>
                            </w:pPr>
                            <w:r w:rsidRPr="008635C2">
                              <w:t>They include:</w:t>
                            </w:r>
                          </w:p>
                          <w:p w14:paraId="0F5CE8A8" w14:textId="77777777" w:rsidR="009F1C70" w:rsidRDefault="009F1C70" w:rsidP="004E6BD9">
                            <w:pPr>
                              <w:pStyle w:val="ListParagraph"/>
                              <w:numPr>
                                <w:ilvl w:val="0"/>
                                <w:numId w:val="2"/>
                              </w:numPr>
                              <w:rPr>
                                <w:i/>
                              </w:rPr>
                            </w:pPr>
                            <w:r w:rsidRPr="0098370F">
                              <w:rPr>
                                <w:i/>
                              </w:rPr>
                              <w:t xml:space="preserve">Establish a multi-disciplinary working group on Tackling Child Poverty through Innovation in Data and Intelligence, chaired by IS/COSLA/academic partners to include, for example, relevant local authorities and health boards, relevant academics (Scottish Policy and Research Exchange, SPIRU, Codeclan, Data Lab, Research Data Scotland), representatives of the Information Commissioner and those with insight/expertise as to private sector use of data sharing legislation. Local government representatives should include those in leadership roles (SOLACE etc.) those with data and analytical expertise, GIS professionals and child poverty policy and delivery leads.  The remit of the group would include: </w:t>
                            </w:r>
                          </w:p>
                          <w:p w14:paraId="7A5625CE" w14:textId="77777777" w:rsidR="009F1C70" w:rsidRDefault="009F1C70" w:rsidP="004E6BD9">
                            <w:pPr>
                              <w:pStyle w:val="ListParagraph"/>
                              <w:numPr>
                                <w:ilvl w:val="1"/>
                                <w:numId w:val="2"/>
                              </w:numPr>
                              <w:rPr>
                                <w:i/>
                              </w:rPr>
                            </w:pPr>
                            <w:r w:rsidRPr="00B44901">
                              <w:rPr>
                                <w:i/>
                              </w:rPr>
                              <w:t xml:space="preserve">Investigating the availability, suitability and quality of additional data sources, including private sector data sources, for the purposes of identifying and addressing child poverty. </w:t>
                            </w:r>
                          </w:p>
                          <w:p w14:paraId="55F5598E" w14:textId="77777777" w:rsidR="009F1C70" w:rsidRDefault="009F1C70" w:rsidP="004E6BD9">
                            <w:pPr>
                              <w:pStyle w:val="ListParagraph"/>
                              <w:numPr>
                                <w:ilvl w:val="1"/>
                                <w:numId w:val="2"/>
                              </w:numPr>
                              <w:rPr>
                                <w:i/>
                              </w:rPr>
                            </w:pPr>
                            <w:r w:rsidRPr="00B44901">
                              <w:rPr>
                                <w:i/>
                              </w:rPr>
                              <w:t xml:space="preserve">Providing information and advice to the Scottish Government and local authorities on the financial, legal, practical and moral implications of accessing these data sources </w:t>
                            </w:r>
                          </w:p>
                          <w:p w14:paraId="40797108" w14:textId="77777777" w:rsidR="009F1C70" w:rsidRPr="00B44901" w:rsidRDefault="009F1C70" w:rsidP="009F1C70">
                            <w:pPr>
                              <w:pStyle w:val="ListParagraph"/>
                              <w:ind w:left="1440"/>
                              <w:rPr>
                                <w:i/>
                              </w:rPr>
                            </w:pPr>
                          </w:p>
                          <w:p w14:paraId="0DF20E96" w14:textId="77777777" w:rsidR="009F1C70" w:rsidRDefault="009F1C70" w:rsidP="004E6BD9">
                            <w:pPr>
                              <w:pStyle w:val="ListParagraph"/>
                              <w:numPr>
                                <w:ilvl w:val="0"/>
                                <w:numId w:val="3"/>
                              </w:numPr>
                              <w:rPr>
                                <w:i/>
                              </w:rPr>
                            </w:pPr>
                            <w:r w:rsidRPr="00A4756A">
                              <w:rPr>
                                <w:i/>
                              </w:rPr>
                              <w:t>Engage with Scottish Policy and Research Exchange</w:t>
                            </w:r>
                            <w:r>
                              <w:rPr>
                                <w:i/>
                              </w:rPr>
                              <w:t xml:space="preserve">  (SPRE)</w:t>
                            </w:r>
                            <w:r w:rsidRPr="00A4756A">
                              <w:rPr>
                                <w:i/>
                              </w:rPr>
                              <w:t xml:space="preserve"> to bring an academic perspective to the identification of ‘trigger point’ data and potential</w:t>
                            </w:r>
                            <w:r>
                              <w:rPr>
                                <w:i/>
                              </w:rPr>
                              <w:t>ly develop algorithms to allow those</w:t>
                            </w:r>
                            <w:r w:rsidRPr="00A4756A">
                              <w:rPr>
                                <w:i/>
                              </w:rPr>
                              <w:t xml:space="preserve"> at risk of child poverty and/or financial crisis to be identified and early interventions made to support the families. The example provided during discussion was the existence of school meal debt.  </w:t>
                            </w:r>
                          </w:p>
                          <w:p w14:paraId="1A263955" w14:textId="77777777" w:rsidR="009F1C70" w:rsidRPr="00B44901" w:rsidRDefault="009F1C70" w:rsidP="009F1C70">
                            <w:pPr>
                              <w:pStyle w:val="ListParagraph"/>
                              <w:rPr>
                                <w:i/>
                              </w:rPr>
                            </w:pPr>
                          </w:p>
                          <w:p w14:paraId="47722521" w14:textId="77777777" w:rsidR="009F1C70" w:rsidRDefault="009F1C70" w:rsidP="004E6BD9">
                            <w:pPr>
                              <w:pStyle w:val="ListParagraph"/>
                              <w:numPr>
                                <w:ilvl w:val="0"/>
                                <w:numId w:val="3"/>
                              </w:numPr>
                              <w:rPr>
                                <w:i/>
                              </w:rPr>
                            </w:pPr>
                            <w:r w:rsidRPr="00A4756A">
                              <w:rPr>
                                <w:i/>
                              </w:rPr>
                              <w:t xml:space="preserve">IS and national Local Child Poverty Peer Support Network should work with the Information Commissioner and SAVVI to compile examples of where data has been shared in an innovative way locally (or between national and local organisations) to contribute to a reduction in child poverty. </w:t>
                            </w:r>
                          </w:p>
                          <w:p w14:paraId="0107461F" w14:textId="77777777" w:rsidR="009F1C70" w:rsidRPr="00B44901" w:rsidRDefault="009F1C70" w:rsidP="009F1C70">
                            <w:pPr>
                              <w:pStyle w:val="ListParagraph"/>
                              <w:rPr>
                                <w:i/>
                              </w:rPr>
                            </w:pPr>
                          </w:p>
                          <w:p w14:paraId="0F19D2A8" w14:textId="77777777" w:rsidR="009F1C70" w:rsidRDefault="009F1C70" w:rsidP="004E6BD9">
                            <w:pPr>
                              <w:pStyle w:val="ListParagraph"/>
                              <w:numPr>
                                <w:ilvl w:val="0"/>
                                <w:numId w:val="3"/>
                              </w:numPr>
                              <w:rPr>
                                <w:i/>
                              </w:rPr>
                            </w:pPr>
                            <w:r>
                              <w:rPr>
                                <w:i/>
                              </w:rPr>
                              <w:t>IS and/or Public Health Scotland should w</w:t>
                            </w:r>
                            <w:r w:rsidRPr="00A4756A">
                              <w:rPr>
                                <w:i/>
                              </w:rPr>
                              <w:t xml:space="preserve">ork with the Scottish Government, Scottish Office of Information Commissioner (ICO), SAVVI and Scottish local authorities to develop a training resource or toolkit on information sharing to prevent and alleviate child poverty, removing confusion around the legislation and showing what can be shared and how. </w:t>
                            </w:r>
                          </w:p>
                          <w:p w14:paraId="6CB31DC5" w14:textId="77777777" w:rsidR="009F1C70" w:rsidRPr="00B44901" w:rsidRDefault="009F1C70" w:rsidP="009F1C70">
                            <w:pPr>
                              <w:pStyle w:val="ListParagraph"/>
                              <w:rPr>
                                <w:i/>
                              </w:rPr>
                            </w:pPr>
                          </w:p>
                          <w:p w14:paraId="2E89F063" w14:textId="77777777" w:rsidR="009F1C70" w:rsidRDefault="009F1C70" w:rsidP="009F1C70">
                            <w:r>
                              <w:t xml:space="preserve">Further draft solutions identified in the paper – </w:t>
                            </w:r>
                            <w:r w:rsidRPr="008635C2">
                              <w:rPr>
                                <w:color w:val="FF0000"/>
                              </w:rPr>
                              <w:t xml:space="preserve">and again subject to change </w:t>
                            </w:r>
                            <w:r>
                              <w:t xml:space="preserve">– relate to how data and intelligence can be used to ensure there is a clear, real time understanding of the cost of living for families in Scotland and how we can ensure lived experience intelligence is gathered effectively and reflected in decision and policy making.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8A9852" id="_x0000_t202" coordsize="21600,21600" o:spt="202" path="m,l,21600r21600,l21600,xe">
                <v:stroke joinstyle="miter"/>
                <v:path gradientshapeok="t" o:connecttype="rect"/>
              </v:shapetype>
              <v:shape id="Text Box 2" o:spid="_x0000_s1026" type="#_x0000_t202" style="position:absolute;margin-left:0;margin-top:24.55pt;width:507.75pt;height:606.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">
                <v:textbox>
                  <w:txbxContent>
                    <w:p w14:paraId="620322D4" w14:textId="77777777" w:rsidR="009F1C70" w:rsidRDefault="009F1C70" w:rsidP="009F1C70">
                      <w:pPr>
                        <w:spacing w:after="0"/>
                      </w:pPr>
                      <w:r w:rsidRPr="00A41A4B">
                        <w:rPr>
                          <w:u w:val="single"/>
                        </w:rPr>
                        <w:t>Exploring barriers to data sharing</w:t>
                      </w:r>
                      <w:r>
                        <w:br/>
                        <w:t xml:space="preserve">With funding provided by the Scottish Government’s Scottish Rural Network, the Improvement Service has taken a design approach to understanding and seeking to overcome some of the key difficulties remote, rural and island authorities face in relation to child poverty data and intelligence. Over the course of four workshops in May and June 2022 (our ‘intelligence sprint’) the group – which consisted of local child poverty and data leads - identified 20 Draft ‘Solutions’, many of which are likely relevant to all local authorities and their community planning partners. </w:t>
                      </w:r>
                    </w:p>
                    <w:p w14:paraId="2D5C0DD6" w14:textId="77777777" w:rsidR="009F1C70" w:rsidRDefault="009F1C70" w:rsidP="009F1C70">
                      <w:pPr>
                        <w:spacing w:after="0"/>
                        <w:rPr>
                          <w:color w:val="FF0000"/>
                        </w:rPr>
                      </w:pPr>
                      <w:r>
                        <w:br/>
                        <w:t>While the</w:t>
                      </w:r>
                      <w:r w:rsidRPr="00A4756A">
                        <w:rPr>
                          <w:color w:val="FF0000"/>
                        </w:rPr>
                        <w:t xml:space="preserve"> </w:t>
                      </w:r>
                      <w:r w:rsidRPr="008635C2">
                        <w:rPr>
                          <w:color w:val="FF0000"/>
                          <w:u w:val="single"/>
                        </w:rPr>
                        <w:t>draft</w:t>
                      </w:r>
                      <w:r w:rsidRPr="00A4756A">
                        <w:rPr>
                          <w:color w:val="FF0000"/>
                        </w:rPr>
                        <w:t xml:space="preserve"> </w:t>
                      </w:r>
                      <w:r>
                        <w:t xml:space="preserve">solutions are currently being considered by the child poverty and data and intelligence leads involved in the intelligence sprint – and therefore subject to change – all 20 are included in </w:t>
                      </w:r>
                      <w:hyperlink w:anchor="_ANNEX_II" w:history="1">
                        <w:r w:rsidRPr="0098370F">
                          <w:rPr>
                            <w:rStyle w:val="Hyperlink"/>
                          </w:rPr>
                          <w:t>ANNEX II</w:t>
                        </w:r>
                      </w:hyperlink>
                      <w:r>
                        <w:t xml:space="preserve">). </w:t>
                      </w:r>
                      <w:r w:rsidRPr="008635C2">
                        <w:rPr>
                          <w:color w:val="FF0000"/>
                        </w:rPr>
                        <w:t xml:space="preserve">We would ask you not to share these draft recommendations until they have been signed off by the rural leads. </w:t>
                      </w:r>
                    </w:p>
                    <w:p w14:paraId="3F8B9705" w14:textId="77777777" w:rsidR="009F1C70" w:rsidRDefault="009F1C70" w:rsidP="009F1C70">
                      <w:pPr>
                        <w:spacing w:after="0"/>
                        <w:rPr>
                          <w:color w:val="FF0000"/>
                        </w:rPr>
                      </w:pPr>
                    </w:p>
                    <w:p w14:paraId="692D7135" w14:textId="77777777" w:rsidR="009F1C70" w:rsidRPr="00B44901" w:rsidRDefault="009F1C70" w:rsidP="009F1C70">
                      <w:pPr>
                        <w:spacing w:after="0"/>
                        <w:rPr>
                          <w:color w:val="FF0000"/>
                        </w:rPr>
                      </w:pPr>
                      <w:r w:rsidRPr="008635C2">
                        <w:t>They include:</w:t>
                      </w:r>
                    </w:p>
                    <w:p w14:paraId="0F5CE8A8" w14:textId="77777777" w:rsidR="009F1C70" w:rsidRDefault="009F1C70" w:rsidP="004E6BD9">
                      <w:pPr>
                        <w:pStyle w:val="ListParagraph"/>
                        <w:numPr>
                          <w:ilvl w:val="0"/>
                          <w:numId w:val="2"/>
                        </w:numPr>
                        <w:rPr>
                          <w:i/>
                        </w:rPr>
                      </w:pPr>
                      <w:r w:rsidRPr="0098370F">
                        <w:rPr>
                          <w:i/>
                        </w:rPr>
                        <w:t xml:space="preserve">Establish a multi-disciplinary working group on Tackling Child Poverty through Innovation in Data and Intelligence, chaired by IS/COSLA/academic partners to include, for example, relevant local authorities and health boards, relevant academics (Scottish Policy and Research Exchange, SPIRU, Codeclan, Data Lab, Research Data Scotland), representatives of the Information Commissioner and those with insight/expertise as to private sector use of data sharing legislation. Local government representatives should include those in leadership roles (SOLACE etc.) those with data and analytical expertise, GIS professionals and child poverty policy and delivery leads.  The remit of the group would include: </w:t>
                      </w:r>
                    </w:p>
                    <w:p w14:paraId="7A5625CE" w14:textId="77777777" w:rsidR="009F1C70" w:rsidRDefault="009F1C70" w:rsidP="004E6BD9">
                      <w:pPr>
                        <w:pStyle w:val="ListParagraph"/>
                        <w:numPr>
                          <w:ilvl w:val="1"/>
                          <w:numId w:val="2"/>
                        </w:numPr>
                        <w:rPr>
                          <w:i/>
                        </w:rPr>
                      </w:pPr>
                      <w:r w:rsidRPr="00B44901">
                        <w:rPr>
                          <w:i/>
                        </w:rPr>
                        <w:t xml:space="preserve">Investigating the availability, suitability and quality of additional data sources, including private sector data sources, for the purposes of identifying and addressing child poverty. </w:t>
                      </w:r>
                    </w:p>
                    <w:p w14:paraId="55F5598E" w14:textId="77777777" w:rsidR="009F1C70" w:rsidRDefault="009F1C70" w:rsidP="004E6BD9">
                      <w:pPr>
                        <w:pStyle w:val="ListParagraph"/>
                        <w:numPr>
                          <w:ilvl w:val="1"/>
                          <w:numId w:val="2"/>
                        </w:numPr>
                        <w:rPr>
                          <w:i/>
                        </w:rPr>
                      </w:pPr>
                      <w:r w:rsidRPr="00B44901">
                        <w:rPr>
                          <w:i/>
                        </w:rPr>
                        <w:t xml:space="preserve">Providing information and advice to the Scottish Government and local authorities on the financial, legal, practical and moral implications of accessing these data sources </w:t>
                      </w:r>
                    </w:p>
                    <w:p w14:paraId="40797108" w14:textId="77777777" w:rsidR="009F1C70" w:rsidRPr="00B44901" w:rsidRDefault="009F1C70" w:rsidP="009F1C70">
                      <w:pPr>
                        <w:pStyle w:val="ListParagraph"/>
                        <w:ind w:left="1440"/>
                        <w:rPr>
                          <w:i/>
                        </w:rPr>
                      </w:pPr>
                    </w:p>
                    <w:p w14:paraId="0DF20E96" w14:textId="77777777" w:rsidR="009F1C70" w:rsidRDefault="009F1C70" w:rsidP="004E6BD9">
                      <w:pPr>
                        <w:pStyle w:val="ListParagraph"/>
                        <w:numPr>
                          <w:ilvl w:val="0"/>
                          <w:numId w:val="3"/>
                        </w:numPr>
                        <w:rPr>
                          <w:i/>
                        </w:rPr>
                      </w:pPr>
                      <w:r w:rsidRPr="00A4756A">
                        <w:rPr>
                          <w:i/>
                        </w:rPr>
                        <w:t>Engage with Scottish Policy and Research Exchange</w:t>
                      </w:r>
                      <w:r>
                        <w:rPr>
                          <w:i/>
                        </w:rPr>
                        <w:t xml:space="preserve">  (SPRE)</w:t>
                      </w:r>
                      <w:r w:rsidRPr="00A4756A">
                        <w:rPr>
                          <w:i/>
                        </w:rPr>
                        <w:t xml:space="preserve"> to bring an academic perspective to the identification of ‘trigger point’ data and potential</w:t>
                      </w:r>
                      <w:r>
                        <w:rPr>
                          <w:i/>
                        </w:rPr>
                        <w:t>ly develop algorithms to allow those</w:t>
                      </w:r>
                      <w:r w:rsidRPr="00A4756A">
                        <w:rPr>
                          <w:i/>
                        </w:rPr>
                        <w:t xml:space="preserve"> at risk of child poverty and/or financial crisis to be identified and early interventions made to support the families. The example provided during discussion was the existence of school meal debt.  </w:t>
                      </w:r>
                    </w:p>
                    <w:p w14:paraId="1A263955" w14:textId="77777777" w:rsidR="009F1C70" w:rsidRPr="00B44901" w:rsidRDefault="009F1C70" w:rsidP="009F1C70">
                      <w:pPr>
                        <w:pStyle w:val="ListParagraph"/>
                        <w:rPr>
                          <w:i/>
                        </w:rPr>
                      </w:pPr>
                    </w:p>
                    <w:p w14:paraId="47722521" w14:textId="77777777" w:rsidR="009F1C70" w:rsidRDefault="009F1C70" w:rsidP="004E6BD9">
                      <w:pPr>
                        <w:pStyle w:val="ListParagraph"/>
                        <w:numPr>
                          <w:ilvl w:val="0"/>
                          <w:numId w:val="3"/>
                        </w:numPr>
                        <w:rPr>
                          <w:i/>
                        </w:rPr>
                      </w:pPr>
                      <w:r w:rsidRPr="00A4756A">
                        <w:rPr>
                          <w:i/>
                        </w:rPr>
                        <w:t xml:space="preserve">IS and national Local Child Poverty Peer Support Network should work with the Information Commissioner and SAVVI to compile examples of where data has been shared in an innovative way locally (or between national and local organisations) to contribute to a reduction in child poverty. </w:t>
                      </w:r>
                    </w:p>
                    <w:p w14:paraId="0107461F" w14:textId="77777777" w:rsidR="009F1C70" w:rsidRPr="00B44901" w:rsidRDefault="009F1C70" w:rsidP="009F1C70">
                      <w:pPr>
                        <w:pStyle w:val="ListParagraph"/>
                        <w:rPr>
                          <w:i/>
                        </w:rPr>
                      </w:pPr>
                    </w:p>
                    <w:p w14:paraId="0F19D2A8" w14:textId="77777777" w:rsidR="009F1C70" w:rsidRDefault="009F1C70" w:rsidP="004E6BD9">
                      <w:pPr>
                        <w:pStyle w:val="ListParagraph"/>
                        <w:numPr>
                          <w:ilvl w:val="0"/>
                          <w:numId w:val="3"/>
                        </w:numPr>
                        <w:rPr>
                          <w:i/>
                        </w:rPr>
                      </w:pPr>
                      <w:r>
                        <w:rPr>
                          <w:i/>
                        </w:rPr>
                        <w:t>IS and/or Public Health Scotland should w</w:t>
                      </w:r>
                      <w:r w:rsidRPr="00A4756A">
                        <w:rPr>
                          <w:i/>
                        </w:rPr>
                        <w:t xml:space="preserve">ork with the Scottish Government, Scottish Office of Information Commissioner (ICO), SAVVI and Scottish local authorities to develop a training resource or toolkit on information sharing to prevent and alleviate child poverty, removing confusion around the legislation and showing what can be shared and how. </w:t>
                      </w:r>
                    </w:p>
                    <w:p w14:paraId="6CB31DC5" w14:textId="77777777" w:rsidR="009F1C70" w:rsidRPr="00B44901" w:rsidRDefault="009F1C70" w:rsidP="009F1C70">
                      <w:pPr>
                        <w:pStyle w:val="ListParagraph"/>
                        <w:rPr>
                          <w:i/>
                        </w:rPr>
                      </w:pPr>
                    </w:p>
                    <w:p w14:paraId="2E89F063" w14:textId="77777777" w:rsidR="009F1C70" w:rsidRDefault="009F1C70" w:rsidP="009F1C70">
                      <w:r>
                        <w:t xml:space="preserve">Further draft solutions identified in the paper – </w:t>
                      </w:r>
                      <w:r w:rsidRPr="008635C2">
                        <w:rPr>
                          <w:color w:val="FF0000"/>
                        </w:rPr>
                        <w:t xml:space="preserve">and again subject to change </w:t>
                      </w:r>
                      <w:r>
                        <w:t xml:space="preserve">– relate to how data and intelligence can be used to ensure there is a clear, real time understanding of the cost of living for families in Scotland and how we can ensure lived experience intelligence is gathered effectively and reflected in decision and policy making. </w:t>
                      </w:r>
                    </w:p>
                  </w:txbxContent>
                </v:textbox>
                <w10:wrap type="square" anchorx="margin"/>
              </v:shape>
            </w:pict>
          </mc:Fallback>
        </mc:AlternateContent>
      </w:r>
    </w:p>
    <w:p w14:paraId="49FB89F0" w14:textId="77777777" w:rsidR="00321AC9" w:rsidRDefault="00321AC9" w:rsidP="00475982">
      <w:pPr>
        <w:spacing w:line="240" w:lineRule="auto"/>
        <w:rPr>
          <w:color w:val="385623" w:themeColor="accent6" w:themeShade="80"/>
        </w:rPr>
      </w:pPr>
    </w:p>
    <w:p w14:paraId="65C865B1" w14:textId="0A82DB15" w:rsidR="00475982" w:rsidRDefault="00475982"/>
    <w:p w14:paraId="591B7118" w14:textId="0CCE95F7" w:rsidR="00A15F55" w:rsidRDefault="00A15F55"/>
    <w:p w14:paraId="6C5BDBF3" w14:textId="1B11F476" w:rsidR="00A15F55" w:rsidRDefault="00A15F55"/>
    <w:p w14:paraId="1ADC1E06" w14:textId="27102B89" w:rsidR="00A15F55" w:rsidRDefault="00A15F55"/>
    <w:p w14:paraId="3262F046" w14:textId="33EC2276" w:rsidR="001B6749" w:rsidRDefault="001B6749" w:rsidP="001B6749">
      <w:pPr>
        <w:pStyle w:val="Heading1"/>
      </w:pPr>
      <w:r>
        <w:lastRenderedPageBreak/>
        <w:t>SECTION 2 – FUNDING BARRIERS</w:t>
      </w:r>
    </w:p>
    <w:p w14:paraId="04F2E243" w14:textId="77777777" w:rsidR="001B6749" w:rsidRPr="001B6749" w:rsidRDefault="001B6749" w:rsidP="001B6749"/>
    <w:tbl>
      <w:tblPr>
        <w:tblStyle w:val="TableGrid"/>
        <w:tblW w:w="0" w:type="auto"/>
        <w:tblLook w:val="04A0" w:firstRow="1" w:lastRow="0" w:firstColumn="1" w:lastColumn="0" w:noHBand="0" w:noVBand="1"/>
      </w:tblPr>
      <w:tblGrid>
        <w:gridCol w:w="9854"/>
      </w:tblGrid>
      <w:tr w:rsidR="001B6749" w:rsidRPr="001B6749" w14:paraId="72D290C7" w14:textId="77777777" w:rsidTr="00BB5235">
        <w:trPr>
          <w:trHeight w:val="5032"/>
        </w:trPr>
        <w:tc>
          <w:tcPr>
            <w:tcW w:w="9854" w:type="dxa"/>
          </w:tcPr>
          <w:p w14:paraId="051431BA" w14:textId="4B7D0A9C" w:rsidR="001B6749" w:rsidRDefault="001B6749" w:rsidP="009B249C">
            <w:pPr>
              <w:pStyle w:val="Heading2"/>
              <w:outlineLvl w:val="1"/>
            </w:pPr>
            <w:r w:rsidRPr="001B6749">
              <w:t>How do we address the challenges partners face in relation to funding cycles, ringfencing and reporting to different funders with different timescales?</w:t>
            </w:r>
          </w:p>
          <w:p w14:paraId="170CE74E" w14:textId="77777777" w:rsidR="001B6749" w:rsidRPr="001B6749" w:rsidRDefault="001B6749" w:rsidP="001B6749"/>
          <w:p w14:paraId="72C46849" w14:textId="77777777" w:rsidR="001B6749" w:rsidRPr="001B6749" w:rsidRDefault="001B6749" w:rsidP="009B249C">
            <w:pPr>
              <w:rPr>
                <w:rFonts w:cstheme="minorHAnsi"/>
              </w:rPr>
            </w:pPr>
            <w:r w:rsidRPr="001B6749">
              <w:rPr>
                <w:rFonts w:cstheme="minorHAnsi"/>
                <w:b/>
                <w:bCs/>
              </w:rPr>
              <w:t>Key Points:</w:t>
            </w:r>
          </w:p>
          <w:p w14:paraId="73E1AFCD" w14:textId="5354F44F" w:rsidR="001B6749" w:rsidRPr="001B6749" w:rsidRDefault="001B6749" w:rsidP="004E6BD9">
            <w:pPr>
              <w:numPr>
                <w:ilvl w:val="0"/>
                <w:numId w:val="36"/>
              </w:numPr>
              <w:rPr>
                <w:rFonts w:cstheme="minorHAnsi"/>
              </w:rPr>
            </w:pPr>
            <w:r w:rsidRPr="001B6749">
              <w:rPr>
                <w:rFonts w:cstheme="minorHAnsi"/>
                <w:b/>
                <w:bCs/>
              </w:rPr>
              <w:t>Longer-term funding</w:t>
            </w:r>
            <w:r w:rsidRPr="001B6749">
              <w:rPr>
                <w:rFonts w:cstheme="minorHAnsi"/>
              </w:rPr>
              <w:t xml:space="preserve">. Funding timescales are too tight to allow meaningful planning or development of effective projects or services with vulnerable people (including effective recruitment/staff development etc).  There are also issues with lack of flexibility to carry forward funding/work into future </w:t>
            </w:r>
            <w:r w:rsidR="00761175">
              <w:rPr>
                <w:rFonts w:cstheme="minorHAnsi"/>
              </w:rPr>
              <w:t>years.</w:t>
            </w:r>
          </w:p>
          <w:p w14:paraId="34225245" w14:textId="5F149E23" w:rsidR="001B6749" w:rsidRPr="001B6749" w:rsidRDefault="001B6749" w:rsidP="004E6BD9">
            <w:pPr>
              <w:numPr>
                <w:ilvl w:val="0"/>
                <w:numId w:val="36"/>
              </w:numPr>
              <w:rPr>
                <w:rFonts w:cstheme="minorHAnsi"/>
              </w:rPr>
            </w:pPr>
            <w:r w:rsidRPr="001B6749">
              <w:rPr>
                <w:rFonts w:cstheme="minorHAnsi"/>
                <w:b/>
                <w:bCs/>
              </w:rPr>
              <w:t>Better Evaluation</w:t>
            </w:r>
            <w:r w:rsidRPr="001B6749">
              <w:rPr>
                <w:rFonts w:cstheme="minorHAnsi"/>
              </w:rPr>
              <w:t>: These funding timescales undermine meaningful evaluation.  The lack of evaluation drives lack of trust, and the need for assurance through disproportionate governance</w:t>
            </w:r>
            <w:r w:rsidR="00F6272E">
              <w:rPr>
                <w:rFonts w:cstheme="minorHAnsi"/>
              </w:rPr>
              <w:t xml:space="preserve"> and </w:t>
            </w:r>
            <w:r w:rsidRPr="001B6749">
              <w:rPr>
                <w:rFonts w:cstheme="minorHAnsi"/>
              </w:rPr>
              <w:t>reporting.   Better Evaluation requires an investment in transformation however, the funding is not there!</w:t>
            </w:r>
            <w:r w:rsidR="00F6272E">
              <w:rPr>
                <w:rFonts w:cstheme="minorHAnsi"/>
              </w:rPr>
              <w:t xml:space="preserve">  </w:t>
            </w:r>
            <w:r w:rsidR="00340747">
              <w:rPr>
                <w:rFonts w:cstheme="minorHAnsi"/>
              </w:rPr>
              <w:t>In reshaping our</w:t>
            </w:r>
            <w:r w:rsidR="00F6272E">
              <w:rPr>
                <w:rFonts w:cstheme="minorHAnsi"/>
              </w:rPr>
              <w:t xml:space="preserve"> system of evaluation </w:t>
            </w:r>
            <w:r w:rsidR="00340747">
              <w:rPr>
                <w:rFonts w:cstheme="minorHAnsi"/>
              </w:rPr>
              <w:t>t</w:t>
            </w:r>
            <w:r w:rsidR="00F6272E">
              <w:rPr>
                <w:rFonts w:cstheme="minorHAnsi"/>
              </w:rPr>
              <w:t xml:space="preserve">o support </w:t>
            </w:r>
            <w:r w:rsidR="00340747">
              <w:rPr>
                <w:rFonts w:cstheme="minorHAnsi"/>
              </w:rPr>
              <w:t xml:space="preserve">a </w:t>
            </w:r>
            <w:r w:rsidR="00F6272E">
              <w:rPr>
                <w:rFonts w:cstheme="minorHAnsi"/>
              </w:rPr>
              <w:t>greater focus on early intervention and prevention</w:t>
            </w:r>
            <w:r w:rsidR="00340747">
              <w:rPr>
                <w:rFonts w:cstheme="minorHAnsi"/>
              </w:rPr>
              <w:t xml:space="preserve">, it is important to </w:t>
            </w:r>
            <w:r w:rsidR="00F6272E">
              <w:rPr>
                <w:rFonts w:cstheme="minorHAnsi"/>
              </w:rPr>
              <w:t xml:space="preserve">recognise that often the ‘benefits’ </w:t>
            </w:r>
            <w:r w:rsidR="00340747">
              <w:rPr>
                <w:rFonts w:cstheme="minorHAnsi"/>
              </w:rPr>
              <w:t>of intervention do</w:t>
            </w:r>
            <w:r w:rsidR="00F6272E">
              <w:rPr>
                <w:rFonts w:cstheme="minorHAnsi"/>
              </w:rPr>
              <w:t xml:space="preserve"> not fall to the delivery organisation</w:t>
            </w:r>
            <w:r w:rsidR="00340747">
              <w:rPr>
                <w:rFonts w:cstheme="minorHAnsi"/>
              </w:rPr>
              <w:t xml:space="preserve"> and are captured elsewhere.</w:t>
            </w:r>
          </w:p>
          <w:p w14:paraId="23BAF237" w14:textId="77777777" w:rsidR="001B6749" w:rsidRPr="001B6749" w:rsidRDefault="001B6749" w:rsidP="004E6BD9">
            <w:pPr>
              <w:numPr>
                <w:ilvl w:val="0"/>
                <w:numId w:val="36"/>
              </w:numPr>
              <w:rPr>
                <w:rFonts w:cstheme="minorHAnsi"/>
              </w:rPr>
            </w:pPr>
            <w:r w:rsidRPr="001B6749">
              <w:rPr>
                <w:rFonts w:cstheme="minorHAnsi"/>
                <w:b/>
                <w:bCs/>
              </w:rPr>
              <w:t>The role of CPPS in making joined-up decisions on spend</w:t>
            </w:r>
            <w:r w:rsidRPr="001B6749">
              <w:rPr>
                <w:rFonts w:cstheme="minorHAnsi"/>
              </w:rPr>
              <w:t xml:space="preserve"> should be strengthened to avoid duplication and maximise opportunities to reach those most in need (</w:t>
            </w:r>
            <w:proofErr w:type="spellStart"/>
            <w:r w:rsidRPr="001B6749">
              <w:rPr>
                <w:rFonts w:cstheme="minorHAnsi"/>
              </w:rPr>
              <w:t>e.g</w:t>
            </w:r>
            <w:proofErr w:type="spellEnd"/>
            <w:r w:rsidRPr="001B6749">
              <w:rPr>
                <w:rFonts w:cstheme="minorHAnsi"/>
              </w:rPr>
              <w:t xml:space="preserve"> ADPs where funding comes through the NHS, but SG looking for evidence of partnership approaches and decisions about the use of funding).</w:t>
            </w:r>
          </w:p>
          <w:p w14:paraId="0A12F6FD" w14:textId="77777777" w:rsidR="001B6749" w:rsidRPr="001B6749" w:rsidRDefault="001B6749" w:rsidP="004E6BD9">
            <w:pPr>
              <w:numPr>
                <w:ilvl w:val="0"/>
                <w:numId w:val="36"/>
              </w:numPr>
            </w:pPr>
            <w:r w:rsidRPr="001B6749">
              <w:rPr>
                <w:rFonts w:cstheme="minorHAnsi"/>
              </w:rPr>
              <w:t xml:space="preserve">Currently, no </w:t>
            </w:r>
            <w:r w:rsidRPr="001B6749">
              <w:rPr>
                <w:rFonts w:cstheme="minorHAnsi"/>
                <w:b/>
                <w:bCs/>
              </w:rPr>
              <w:t>mapping exists on Child Poverty funding</w:t>
            </w:r>
            <w:r w:rsidRPr="001B6749">
              <w:rPr>
                <w:rFonts w:cstheme="minorHAnsi"/>
              </w:rPr>
              <w:t>.  Our view is that this would not be a useful focus of our resource at this time, particularly given the challenges around ensuring completeness and timeliness.  If however SG produce a mapping in due course, this will be a useful resource.</w:t>
            </w:r>
          </w:p>
          <w:p w14:paraId="2E223EDE" w14:textId="65124CA3" w:rsidR="001B6749" w:rsidRPr="001B6749" w:rsidRDefault="001B6749" w:rsidP="001B6749">
            <w:pPr>
              <w:ind w:left="360"/>
            </w:pPr>
          </w:p>
        </w:tc>
      </w:tr>
    </w:tbl>
    <w:p w14:paraId="7AC66CB3" w14:textId="77777777" w:rsidR="00607C6F" w:rsidRPr="00CB14FC" w:rsidRDefault="00607C6F">
      <w:pPr>
        <w:rPr>
          <w:rFonts w:cstheme="minorHAnsi"/>
        </w:rPr>
      </w:pPr>
    </w:p>
    <w:p w14:paraId="254E044A" w14:textId="3D074C85" w:rsidR="001B6749" w:rsidRPr="001B6749" w:rsidRDefault="00607C6F" w:rsidP="001B6749">
      <w:pPr>
        <w:pStyle w:val="Heading2"/>
      </w:pPr>
      <w:r>
        <w:t>Has</w:t>
      </w:r>
      <w:r w:rsidR="00A15F55" w:rsidRPr="00A15F55">
        <w:t xml:space="preserve"> SG undertaken any mapping to understand funding spent on poverty related work</w:t>
      </w:r>
      <w:r>
        <w:t>?</w:t>
      </w:r>
    </w:p>
    <w:p w14:paraId="5B75E61D" w14:textId="43EAA2EC" w:rsidR="00A15F55" w:rsidRPr="00CB14FC" w:rsidRDefault="00A15F55" w:rsidP="00607C6F">
      <w:pPr>
        <w:rPr>
          <w:rFonts w:cstheme="minorHAnsi"/>
        </w:rPr>
      </w:pPr>
      <w:r w:rsidRPr="00CB14FC">
        <w:rPr>
          <w:rFonts w:cstheme="minorHAnsi"/>
        </w:rPr>
        <w:t>SG Response (Andrew Fraser, Team Leader, Tackling CP Strategy Unit)</w:t>
      </w:r>
    </w:p>
    <w:p w14:paraId="1037C798" w14:textId="7D0EA48F" w:rsidR="00A15F55" w:rsidRPr="00F713DA" w:rsidRDefault="005414BD" w:rsidP="00A15F55">
      <w:pPr>
        <w:rPr>
          <w:rFonts w:cstheme="minorHAnsi"/>
          <w:i/>
          <w:color w:val="000000"/>
        </w:rPr>
      </w:pPr>
      <w:r w:rsidRPr="00F713DA">
        <w:rPr>
          <w:rFonts w:cstheme="minorHAnsi"/>
          <w:i/>
          <w:color w:val="000000"/>
        </w:rPr>
        <w:t>“</w:t>
      </w:r>
      <w:r w:rsidR="00A15F55" w:rsidRPr="00F713DA">
        <w:rPr>
          <w:rFonts w:cstheme="minorHAnsi"/>
          <w:i/>
          <w:color w:val="000000"/>
        </w:rPr>
        <w:t>We have discussed internally the value of producing the type of funding mapping that you’ve outlined below, however I’m not aware that one is available as yet. My colleague Sarah (in Whole Family Wellbeing Funding policy) is looking to start off work on this over the summer but I don’t want to raise any expectations of what we may be able to share in the future and how comprehensive this will be.</w:t>
      </w:r>
    </w:p>
    <w:p w14:paraId="1F0AE1C2" w14:textId="630C0782" w:rsidR="00A15F55" w:rsidRPr="00F713DA" w:rsidRDefault="00A15F55" w:rsidP="00A15F55">
      <w:pPr>
        <w:rPr>
          <w:rFonts w:cstheme="minorHAnsi"/>
          <w:i/>
          <w:color w:val="000000"/>
        </w:rPr>
      </w:pPr>
      <w:r w:rsidRPr="00F713DA">
        <w:rPr>
          <w:rFonts w:cstheme="minorHAnsi"/>
          <w:i/>
          <w:color w:val="000000"/>
        </w:rPr>
        <w:t xml:space="preserve">In the interim you may find the </w:t>
      </w:r>
      <w:hyperlink r:id="rId16" w:history="1">
        <w:r w:rsidRPr="00F713DA">
          <w:rPr>
            <w:rStyle w:val="Hyperlink"/>
            <w:rFonts w:cstheme="minorHAnsi"/>
            <w:i/>
          </w:rPr>
          <w:t>first Annex</w:t>
        </w:r>
      </w:hyperlink>
      <w:r w:rsidRPr="00F713DA">
        <w:rPr>
          <w:rFonts w:cstheme="minorHAnsi"/>
          <w:i/>
          <w:color w:val="000000"/>
        </w:rPr>
        <w:t xml:space="preserve"> to Best Start, Bright Futures helpful. This sets out a range of funding relevant to child poverty (almost £10bn in 2022-23), however it doesn’t specifically outline how funding is delivered or the conditionality attached / reporting requirements. This isn’t an exhaustive list and doesn’t include all relevant spend e.g. on health services and free prescriptions, or in relation to public contracts which support labour market opportunities.</w:t>
      </w:r>
    </w:p>
    <w:p w14:paraId="7F839E26" w14:textId="1A78B834" w:rsidR="00A15F55" w:rsidRPr="00F713DA" w:rsidRDefault="00A15F55" w:rsidP="00A15F55">
      <w:pPr>
        <w:rPr>
          <w:rFonts w:cstheme="minorHAnsi"/>
          <w:i/>
          <w:color w:val="000000"/>
        </w:rPr>
      </w:pPr>
      <w:r w:rsidRPr="00F713DA">
        <w:rPr>
          <w:rFonts w:cstheme="minorHAnsi"/>
          <w:i/>
          <w:color w:val="000000"/>
        </w:rPr>
        <w:t>It may be that additional funding mapping is undertaken as part of local pathfinders, however again I’m not aware of any such work having been completed to date. Any mapping undertaken at a national level would of course miss wider funding in play locally, including funds secured by third sector / other partners or increased targeted investment by local authorities from wider allocations etc</w:t>
      </w:r>
      <w:r w:rsidR="005414BD" w:rsidRPr="00F713DA">
        <w:rPr>
          <w:rFonts w:cstheme="minorHAnsi"/>
          <w:i/>
          <w:color w:val="000000"/>
        </w:rPr>
        <w:t>”</w:t>
      </w:r>
      <w:r w:rsidRPr="00F713DA">
        <w:rPr>
          <w:rFonts w:cstheme="minorHAnsi"/>
          <w:i/>
          <w:color w:val="000000"/>
        </w:rPr>
        <w:t>.</w:t>
      </w:r>
    </w:p>
    <w:p w14:paraId="1E7CE49B" w14:textId="77777777" w:rsidR="00A15F55" w:rsidRPr="00CB14FC" w:rsidRDefault="00A15F55">
      <w:pPr>
        <w:rPr>
          <w:rFonts w:cstheme="minorHAnsi"/>
        </w:rPr>
      </w:pPr>
    </w:p>
    <w:p w14:paraId="55C10AE8" w14:textId="5C0F68A6" w:rsidR="00A15F55" w:rsidRDefault="002155B2" w:rsidP="001B6749">
      <w:pPr>
        <w:pStyle w:val="Heading2"/>
        <w:rPr>
          <w:color w:val="FF0000"/>
        </w:rPr>
      </w:pPr>
      <w:r>
        <w:rPr>
          <w:bCs/>
        </w:rPr>
        <w:t>Examples</w:t>
      </w:r>
      <w:r w:rsidR="00A15F55" w:rsidRPr="00CB14FC">
        <w:t xml:space="preserve"> in relation to the area of financial security where ring fencing has created challenges/had a negative impact.  </w:t>
      </w:r>
      <w:r w:rsidR="00A15F55" w:rsidRPr="00CB14FC">
        <w:rPr>
          <w:color w:val="FF0000"/>
        </w:rPr>
        <w:t xml:space="preserve">  </w:t>
      </w:r>
    </w:p>
    <w:p w14:paraId="562E9C71" w14:textId="77777777" w:rsidR="001B6749" w:rsidRPr="001B6749" w:rsidRDefault="001B6749" w:rsidP="001B6749"/>
    <w:p w14:paraId="5952B006" w14:textId="77777777" w:rsidR="00CB14FC" w:rsidRPr="00CB14FC" w:rsidRDefault="00CB14FC" w:rsidP="00A15F55">
      <w:pPr>
        <w:rPr>
          <w:rFonts w:cstheme="minorHAnsi"/>
          <w:u w:val="single"/>
        </w:rPr>
      </w:pPr>
      <w:r w:rsidRPr="00CB14FC">
        <w:rPr>
          <w:rFonts w:cstheme="minorHAnsi"/>
          <w:u w:val="single"/>
        </w:rPr>
        <w:t>Improvement Service</w:t>
      </w:r>
    </w:p>
    <w:p w14:paraId="7E24D4E0" w14:textId="1FC9EFDB" w:rsidR="00D35F96" w:rsidRPr="007B7A46" w:rsidRDefault="005414BD" w:rsidP="00D35F96">
      <w:r>
        <w:t>The IS</w:t>
      </w:r>
      <w:r w:rsidRPr="007B7A46">
        <w:t xml:space="preserve"> </w:t>
      </w:r>
      <w:r w:rsidR="00D35F96">
        <w:t xml:space="preserve">posted a query on the Local Child Poverty Action Report (LCPAR) Group </w:t>
      </w:r>
      <w:proofErr w:type="spellStart"/>
      <w:r w:rsidR="00D35F96">
        <w:t>KHub</w:t>
      </w:r>
      <w:proofErr w:type="spellEnd"/>
      <w:r w:rsidR="00D35F96">
        <w:t xml:space="preserve"> site, asking if local authority colleagues could provide any examples where ring fencing has created challenges/had a negative impact.  The only response </w:t>
      </w:r>
      <w:r>
        <w:t>received</w:t>
      </w:r>
      <w:r w:rsidR="00D35F96">
        <w:t xml:space="preserve"> is more about how organisations pool budgets, rather than ring-fencing, but it is worth noting. </w:t>
      </w:r>
    </w:p>
    <w:p w14:paraId="292A09CE" w14:textId="68013ADD" w:rsidR="00A15F55" w:rsidRPr="00CB14FC" w:rsidRDefault="00CB14FC" w:rsidP="00A15F55">
      <w:pPr>
        <w:rPr>
          <w:rFonts w:cstheme="minorHAnsi"/>
          <w:i/>
          <w:iCs/>
        </w:rPr>
      </w:pPr>
      <w:r w:rsidRPr="00CB14FC">
        <w:rPr>
          <w:rFonts w:cstheme="minorHAnsi"/>
          <w:i/>
          <w:iCs/>
        </w:rPr>
        <w:t xml:space="preserve"> </w:t>
      </w:r>
      <w:r w:rsidR="00A15F55" w:rsidRPr="00CB14FC">
        <w:rPr>
          <w:rFonts w:cstheme="minorHAnsi"/>
          <w:i/>
          <w:iCs/>
        </w:rPr>
        <w:t>‘The general 'organisational' ring fencing is one of the biggest barriers. Local Authorities generally use their resources for Local Authority projects; NHS for NHS; etc. (I know there are a few exceptions to this) It will probably take long term effort to get more sharing of resources between organisations than we currently have (I think in general the level of this may be increasing - but I've not got any figures to back that up). It's likely to be particularly hard (but also even more necessary to do) for Local Authorities as they see their budgets get thinner and thinner as time goes by.’</w:t>
      </w:r>
    </w:p>
    <w:p w14:paraId="0580AFBE" w14:textId="14AAD3B5" w:rsidR="00A15F55" w:rsidRPr="00CB14FC" w:rsidRDefault="00A15F55" w:rsidP="00A15F55">
      <w:pPr>
        <w:rPr>
          <w:rFonts w:cstheme="minorHAnsi"/>
          <w:iCs/>
        </w:rPr>
      </w:pPr>
      <w:r w:rsidRPr="00CB14FC">
        <w:rPr>
          <w:rFonts w:cstheme="minorHAnsi"/>
          <w:iCs/>
        </w:rPr>
        <w:t xml:space="preserve">Comments from IS interviews with local child poverty leads in Autumn/Winter 2021 included the following: </w:t>
      </w:r>
    </w:p>
    <w:p w14:paraId="34E2CEB6" w14:textId="77777777" w:rsidR="00A15F55" w:rsidRPr="00CB14FC" w:rsidRDefault="00A15F55" w:rsidP="004E6BD9">
      <w:pPr>
        <w:pStyle w:val="ListParagraph"/>
        <w:numPr>
          <w:ilvl w:val="0"/>
          <w:numId w:val="5"/>
        </w:numPr>
        <w:spacing w:after="200"/>
        <w:ind w:left="360"/>
        <w:rPr>
          <w:rFonts w:asciiTheme="minorHAnsi" w:hAnsiTheme="minorHAnsi" w:cstheme="minorHAnsi"/>
          <w:i/>
        </w:rPr>
      </w:pPr>
      <w:r w:rsidRPr="00CB14FC">
        <w:rPr>
          <w:rFonts w:asciiTheme="minorHAnsi" w:hAnsiTheme="minorHAnsi" w:cstheme="minorHAnsi"/>
          <w:i/>
          <w:iCs/>
        </w:rPr>
        <w:t xml:space="preserve">“Health and Education are ring-fenced and we’re </w:t>
      </w:r>
      <w:r w:rsidRPr="00CB14FC">
        <w:rPr>
          <w:rFonts w:asciiTheme="minorHAnsi" w:hAnsiTheme="minorHAnsi" w:cstheme="minorHAnsi"/>
          <w:b/>
          <w:bCs/>
          <w:i/>
          <w:iCs/>
        </w:rPr>
        <w:t>incorporating cuts</w:t>
      </w:r>
      <w:r w:rsidRPr="00CB14FC">
        <w:rPr>
          <w:rFonts w:asciiTheme="minorHAnsi" w:hAnsiTheme="minorHAnsi" w:cstheme="minorHAnsi"/>
          <w:i/>
          <w:iCs/>
        </w:rPr>
        <w:t>. We have nothing left to cut, so it’s unrealistic to expect us to find new and additional resource for child poverty at the moment”</w:t>
      </w:r>
    </w:p>
    <w:p w14:paraId="7C20E8EA" w14:textId="77777777" w:rsidR="00A15F55" w:rsidRPr="00CB14FC" w:rsidRDefault="00A15F55" w:rsidP="004E6BD9">
      <w:pPr>
        <w:pStyle w:val="ListParagraph"/>
        <w:numPr>
          <w:ilvl w:val="0"/>
          <w:numId w:val="5"/>
        </w:numPr>
        <w:spacing w:after="200"/>
        <w:ind w:left="360"/>
        <w:contextualSpacing/>
        <w:rPr>
          <w:rFonts w:asciiTheme="minorHAnsi" w:hAnsiTheme="minorHAnsi" w:cstheme="minorHAnsi"/>
          <w:i/>
        </w:rPr>
      </w:pPr>
      <w:r w:rsidRPr="00CB14FC">
        <w:rPr>
          <w:rFonts w:asciiTheme="minorHAnsi" w:hAnsiTheme="minorHAnsi" w:cstheme="minorHAnsi"/>
          <w:i/>
        </w:rPr>
        <w:t>“</w:t>
      </w:r>
      <w:r w:rsidRPr="00CB14FC">
        <w:rPr>
          <w:rFonts w:asciiTheme="minorHAnsi" w:hAnsiTheme="minorHAnsi" w:cstheme="minorHAnsi"/>
          <w:i/>
          <w:iCs/>
        </w:rPr>
        <w:t>We have £98k for tackling period poverty but nothing specifically for child poverty, plus much of our team have been seconded out to process COVID Grants</w:t>
      </w:r>
      <w:r w:rsidRPr="00CB14FC">
        <w:rPr>
          <w:rFonts w:asciiTheme="minorHAnsi" w:hAnsiTheme="minorHAnsi" w:cstheme="minorHAnsi"/>
          <w:i/>
        </w:rPr>
        <w:t>”</w:t>
      </w:r>
      <w:r w:rsidRPr="00CB14FC">
        <w:rPr>
          <w:rFonts w:asciiTheme="minorHAnsi" w:hAnsiTheme="minorHAnsi" w:cstheme="minorHAnsi"/>
          <w:i/>
        </w:rPr>
        <w:br/>
      </w:r>
    </w:p>
    <w:p w14:paraId="1594602E" w14:textId="77777777" w:rsidR="00A15F55" w:rsidRPr="00CB14FC" w:rsidRDefault="00A15F55" w:rsidP="004E6BD9">
      <w:pPr>
        <w:pStyle w:val="ListParagraph"/>
        <w:numPr>
          <w:ilvl w:val="0"/>
          <w:numId w:val="5"/>
        </w:numPr>
        <w:spacing w:after="200"/>
        <w:ind w:left="360"/>
        <w:contextualSpacing/>
        <w:rPr>
          <w:rFonts w:asciiTheme="minorHAnsi" w:hAnsiTheme="minorHAnsi" w:cstheme="minorHAnsi"/>
          <w:i/>
        </w:rPr>
      </w:pPr>
      <w:r w:rsidRPr="00CB14FC">
        <w:rPr>
          <w:rFonts w:asciiTheme="minorHAnsi" w:hAnsiTheme="minorHAnsi" w:cstheme="minorHAnsi"/>
          <w:b/>
        </w:rPr>
        <w:t>“</w:t>
      </w:r>
      <w:r w:rsidRPr="00CB14FC">
        <w:rPr>
          <w:rFonts w:asciiTheme="minorHAnsi" w:hAnsiTheme="minorHAnsi" w:cstheme="minorHAnsi"/>
          <w:i/>
        </w:rPr>
        <w:t xml:space="preserve">We need additional resource to take child poverty work forward effectively at local level. We also need </w:t>
      </w:r>
      <w:r w:rsidRPr="00CB14FC">
        <w:rPr>
          <w:rFonts w:asciiTheme="minorHAnsi" w:hAnsiTheme="minorHAnsi" w:cstheme="minorHAnsi"/>
          <w:b/>
          <w:i/>
        </w:rPr>
        <w:t>additional resource for the actions that we know will be effective locally – or to test what we think will be effective in our area</w:t>
      </w:r>
      <w:r w:rsidRPr="00CB14FC">
        <w:rPr>
          <w:rFonts w:asciiTheme="minorHAnsi" w:hAnsiTheme="minorHAnsi" w:cstheme="minorHAnsi"/>
          <w:i/>
        </w:rPr>
        <w:t>. Pots or funding directed towards particular initiatives are good – but sometimes they don’t fit with what we know need to happen locally. ‘</w:t>
      </w:r>
    </w:p>
    <w:p w14:paraId="783A9242" w14:textId="77777777" w:rsidR="00A15F55" w:rsidRPr="00CB14FC" w:rsidRDefault="00A15F55" w:rsidP="00A15F55">
      <w:pPr>
        <w:pStyle w:val="ListParagraph"/>
        <w:ind w:left="360"/>
        <w:rPr>
          <w:rFonts w:asciiTheme="minorHAnsi" w:hAnsiTheme="minorHAnsi" w:cstheme="minorHAnsi"/>
          <w:i/>
        </w:rPr>
      </w:pPr>
    </w:p>
    <w:p w14:paraId="6A004CA9" w14:textId="41567F6A" w:rsidR="00A15F55" w:rsidRPr="00CB14FC" w:rsidRDefault="00A15F55" w:rsidP="004E6BD9">
      <w:pPr>
        <w:numPr>
          <w:ilvl w:val="0"/>
          <w:numId w:val="7"/>
        </w:numPr>
        <w:spacing w:after="0" w:line="240" w:lineRule="auto"/>
        <w:ind w:left="360"/>
        <w:rPr>
          <w:rFonts w:cstheme="minorHAnsi"/>
        </w:rPr>
      </w:pPr>
      <w:r w:rsidRPr="00CB14FC">
        <w:rPr>
          <w:rFonts w:cstheme="minorHAnsi"/>
        </w:rPr>
        <w:t>Particular frustrations around ringfencing PEF. ‘</w:t>
      </w:r>
      <w:r w:rsidRPr="00CB14FC">
        <w:rPr>
          <w:rFonts w:cstheme="minorHAnsi"/>
          <w:i/>
        </w:rPr>
        <w:t xml:space="preserve">At local level there is no transparency about how it is being spent. There is no alignment with the child poverty reporting framework. Head teachers have a budget to take action within the school and it doesn’t often reflect the broader work to tackle child poverty. The local authority has a much wider agenda and no specific budget. There needs to be </w:t>
      </w:r>
      <w:r w:rsidRPr="00CB14FC">
        <w:rPr>
          <w:rFonts w:cstheme="minorHAnsi"/>
          <w:b/>
          <w:i/>
        </w:rPr>
        <w:t>more transparency but also more direction from a national level about how these strategies fit together.’</w:t>
      </w:r>
      <w:r w:rsidRPr="00CB14FC">
        <w:rPr>
          <w:rFonts w:cstheme="minorHAnsi"/>
        </w:rPr>
        <w:t xml:space="preserve"> </w:t>
      </w:r>
    </w:p>
    <w:p w14:paraId="2E62E6D7" w14:textId="77777777" w:rsidR="00CB14FC" w:rsidRPr="00CB14FC" w:rsidRDefault="00CB14FC" w:rsidP="00CB14FC">
      <w:pPr>
        <w:spacing w:after="0" w:line="240" w:lineRule="auto"/>
        <w:ind w:left="360"/>
        <w:rPr>
          <w:rFonts w:cstheme="minorHAnsi"/>
        </w:rPr>
      </w:pPr>
    </w:p>
    <w:p w14:paraId="2889DAEB" w14:textId="77777777" w:rsidR="00A15F55" w:rsidRPr="00CB14FC" w:rsidRDefault="00A15F55" w:rsidP="004E6BD9">
      <w:pPr>
        <w:numPr>
          <w:ilvl w:val="1"/>
          <w:numId w:val="6"/>
        </w:numPr>
        <w:spacing w:after="0" w:line="240" w:lineRule="auto"/>
        <w:ind w:left="1080"/>
        <w:rPr>
          <w:rFonts w:cstheme="minorHAnsi"/>
        </w:rPr>
      </w:pPr>
      <w:r w:rsidRPr="00CB14FC">
        <w:rPr>
          <w:rFonts w:cstheme="minorHAnsi"/>
          <w:b/>
        </w:rPr>
        <w:t>Example:’</w:t>
      </w:r>
      <w:r w:rsidRPr="00CB14FC">
        <w:rPr>
          <w:rFonts w:cstheme="minorHAnsi"/>
        </w:rPr>
        <w:t xml:space="preserve"> </w:t>
      </w:r>
      <w:r w:rsidRPr="00CB14FC">
        <w:rPr>
          <w:rFonts w:cstheme="minorHAnsi"/>
          <w:i/>
        </w:rPr>
        <w:t>I have people from education come to me looking for budget to promote digital connectivity for pupils and I think ‘can’t PEF do that? Why can PEF give you a laptop and not make sure you’re connected to the internet?’. It’s frustrating because we don’t have a budget and they do’.</w:t>
      </w:r>
    </w:p>
    <w:p w14:paraId="1828AE24" w14:textId="6BAD6960" w:rsidR="00A15F55" w:rsidRPr="00CB14FC" w:rsidRDefault="00A15F55" w:rsidP="00A15F55">
      <w:pPr>
        <w:rPr>
          <w:rFonts w:cstheme="minorHAnsi"/>
          <w:b/>
          <w:i/>
          <w:color w:val="FF0000"/>
        </w:rPr>
      </w:pPr>
    </w:p>
    <w:p w14:paraId="76B080F5" w14:textId="4BBC55FF" w:rsidR="00A15F55" w:rsidRPr="00C62CB6" w:rsidRDefault="00A15F55" w:rsidP="00A15F55">
      <w:pPr>
        <w:rPr>
          <w:rFonts w:cstheme="minorHAnsi"/>
          <w:bCs/>
          <w:iCs/>
          <w:u w:val="single"/>
        </w:rPr>
      </w:pPr>
      <w:r w:rsidRPr="00C62CB6">
        <w:rPr>
          <w:rFonts w:cstheme="minorHAnsi"/>
          <w:bCs/>
          <w:iCs/>
          <w:u w:val="single"/>
        </w:rPr>
        <w:t>T</w:t>
      </w:r>
      <w:r w:rsidR="00C62CB6" w:rsidRPr="00C62CB6">
        <w:rPr>
          <w:rFonts w:cstheme="minorHAnsi"/>
          <w:bCs/>
          <w:iCs/>
          <w:u w:val="single"/>
        </w:rPr>
        <w:t>hird Sector Interface</w:t>
      </w:r>
    </w:p>
    <w:p w14:paraId="31442AEA" w14:textId="199CD433" w:rsidR="00A15F55" w:rsidRPr="00CB14FC" w:rsidRDefault="00A15F55" w:rsidP="00A15F55">
      <w:pPr>
        <w:rPr>
          <w:rFonts w:cstheme="minorHAnsi"/>
        </w:rPr>
      </w:pPr>
      <w:r w:rsidRPr="00CB14FC">
        <w:rPr>
          <w:rFonts w:cstheme="minorHAnsi"/>
        </w:rPr>
        <w:t xml:space="preserve">With regard to funding, </w:t>
      </w:r>
      <w:r w:rsidR="005414BD">
        <w:rPr>
          <w:rFonts w:cstheme="minorHAnsi"/>
        </w:rPr>
        <w:t xml:space="preserve">TSIs </w:t>
      </w:r>
      <w:r w:rsidRPr="00CB14FC">
        <w:rPr>
          <w:rFonts w:cstheme="minorHAnsi"/>
        </w:rPr>
        <w:t xml:space="preserve">are all currently working on </w:t>
      </w:r>
      <w:r w:rsidR="005414BD">
        <w:rPr>
          <w:rFonts w:cstheme="minorHAnsi"/>
        </w:rPr>
        <w:t>their</w:t>
      </w:r>
      <w:r w:rsidR="005414BD" w:rsidRPr="00CB14FC">
        <w:rPr>
          <w:rFonts w:cstheme="minorHAnsi"/>
        </w:rPr>
        <w:t xml:space="preserve"> </w:t>
      </w:r>
      <w:r w:rsidRPr="00CB14FC">
        <w:rPr>
          <w:rFonts w:cstheme="minorHAnsi"/>
        </w:rPr>
        <w:t>investment plans for the UK Shared Prosperity Fund, which is due in for 1 August.  The UKSPF has an intervention around Cost of Living, and a strand about employability. There is also a pot of funding for Multiply around improving adult numeracy, which includes numeracy upskilling for parents, and managing budgets. The breakdown of available funding for Midlothian is:</w:t>
      </w:r>
    </w:p>
    <w:p w14:paraId="1F2F2548" w14:textId="77777777" w:rsidR="00A15F55" w:rsidRPr="00CB14FC" w:rsidRDefault="00A15F55" w:rsidP="00A15F55">
      <w:pPr>
        <w:rPr>
          <w:rFonts w:cstheme="minorHAnsi"/>
        </w:rPr>
      </w:pPr>
      <w:r w:rsidRPr="00CB14FC">
        <w:rPr>
          <w:rFonts w:cstheme="minorHAnsi"/>
        </w:rPr>
        <w:t>UKSPF</w:t>
      </w:r>
    </w:p>
    <w:tbl>
      <w:tblPr>
        <w:tblW w:w="5860" w:type="dxa"/>
        <w:tblInd w:w="5" w:type="dxa"/>
        <w:tblCellMar>
          <w:left w:w="0" w:type="dxa"/>
          <w:right w:w="0" w:type="dxa"/>
        </w:tblCellMar>
        <w:tblLook w:val="04A0" w:firstRow="1" w:lastRow="0" w:firstColumn="1" w:lastColumn="0" w:noHBand="0" w:noVBand="1"/>
      </w:tblPr>
      <w:tblGrid>
        <w:gridCol w:w="1700"/>
        <w:gridCol w:w="1320"/>
        <w:gridCol w:w="1420"/>
        <w:gridCol w:w="1420"/>
      </w:tblGrid>
      <w:tr w:rsidR="00A15F55" w:rsidRPr="00CB14FC" w14:paraId="651D7059" w14:textId="77777777" w:rsidTr="00E67301">
        <w:trPr>
          <w:trHeight w:val="288"/>
        </w:trPr>
        <w:tc>
          <w:tcPr>
            <w:tcW w:w="17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EB5FF90" w14:textId="77777777" w:rsidR="00A15F55" w:rsidRPr="00CB14FC" w:rsidRDefault="00A15F55" w:rsidP="00E67301">
            <w:pPr>
              <w:rPr>
                <w:rFonts w:cstheme="minorHAnsi"/>
                <w:b/>
                <w:bCs/>
                <w:color w:val="000000"/>
                <w:lang w:eastAsia="en-GB"/>
              </w:rPr>
            </w:pPr>
            <w:r w:rsidRPr="00CB14FC">
              <w:rPr>
                <w:rFonts w:cstheme="minorHAnsi"/>
                <w:b/>
                <w:bCs/>
                <w:color w:val="000000"/>
                <w:lang w:eastAsia="en-GB"/>
              </w:rPr>
              <w:t>22/23</w:t>
            </w:r>
          </w:p>
        </w:tc>
        <w:tc>
          <w:tcPr>
            <w:tcW w:w="13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71A314B" w14:textId="77777777" w:rsidR="00A15F55" w:rsidRPr="00CB14FC" w:rsidRDefault="00A15F55" w:rsidP="00E67301">
            <w:pPr>
              <w:rPr>
                <w:rFonts w:cstheme="minorHAnsi"/>
                <w:b/>
                <w:bCs/>
                <w:color w:val="000000"/>
                <w:lang w:eastAsia="en-GB"/>
              </w:rPr>
            </w:pPr>
            <w:r w:rsidRPr="00CB14FC">
              <w:rPr>
                <w:rFonts w:cstheme="minorHAnsi"/>
                <w:b/>
                <w:bCs/>
                <w:color w:val="000000"/>
                <w:lang w:eastAsia="en-GB"/>
              </w:rPr>
              <w:t>23/24</w:t>
            </w:r>
          </w:p>
        </w:tc>
        <w:tc>
          <w:tcPr>
            <w:tcW w:w="14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2E1FF5C" w14:textId="77777777" w:rsidR="00A15F55" w:rsidRPr="00CB14FC" w:rsidRDefault="00A15F55" w:rsidP="00E67301">
            <w:pPr>
              <w:rPr>
                <w:rFonts w:cstheme="minorHAnsi"/>
                <w:b/>
                <w:bCs/>
                <w:color w:val="000000"/>
                <w:lang w:eastAsia="en-GB"/>
              </w:rPr>
            </w:pPr>
            <w:r w:rsidRPr="00CB14FC">
              <w:rPr>
                <w:rFonts w:cstheme="minorHAnsi"/>
                <w:b/>
                <w:bCs/>
                <w:color w:val="000000"/>
                <w:lang w:eastAsia="en-GB"/>
              </w:rPr>
              <w:t>24/25</w:t>
            </w:r>
          </w:p>
        </w:tc>
        <w:tc>
          <w:tcPr>
            <w:tcW w:w="14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30E4297" w14:textId="77777777" w:rsidR="00A15F55" w:rsidRPr="00CB14FC" w:rsidRDefault="00A15F55" w:rsidP="00E67301">
            <w:pPr>
              <w:rPr>
                <w:rFonts w:cstheme="minorHAnsi"/>
                <w:b/>
                <w:bCs/>
                <w:color w:val="000000"/>
                <w:lang w:eastAsia="en-GB"/>
              </w:rPr>
            </w:pPr>
            <w:r w:rsidRPr="00CB14FC">
              <w:rPr>
                <w:rFonts w:cstheme="minorHAnsi"/>
                <w:b/>
                <w:bCs/>
                <w:color w:val="000000"/>
                <w:lang w:eastAsia="en-GB"/>
              </w:rPr>
              <w:t>SR</w:t>
            </w:r>
          </w:p>
        </w:tc>
      </w:tr>
      <w:tr w:rsidR="00A15F55" w:rsidRPr="00CB14FC" w14:paraId="37248D39" w14:textId="77777777" w:rsidTr="00E67301">
        <w:trPr>
          <w:trHeight w:val="288"/>
        </w:trPr>
        <w:tc>
          <w:tcPr>
            <w:tcW w:w="17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56BE9D6" w14:textId="77777777" w:rsidR="00A15F55" w:rsidRPr="00CB14FC" w:rsidRDefault="00A15F55" w:rsidP="00E67301">
            <w:pPr>
              <w:rPr>
                <w:rFonts w:cstheme="minorHAnsi"/>
                <w:b/>
                <w:bCs/>
                <w:color w:val="000000"/>
                <w:lang w:eastAsia="en-GB"/>
              </w:rPr>
            </w:pPr>
            <w:r w:rsidRPr="00CB14FC">
              <w:rPr>
                <w:rFonts w:cstheme="minorHAnsi"/>
                <w:b/>
                <w:bCs/>
                <w:color w:val="000000"/>
                <w:lang w:eastAsia="en-GB"/>
              </w:rPr>
              <w:t>£357,295</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F698FA" w14:textId="77777777" w:rsidR="00A15F55" w:rsidRPr="00CB14FC" w:rsidRDefault="00A15F55" w:rsidP="00E67301">
            <w:pPr>
              <w:rPr>
                <w:rFonts w:cstheme="minorHAnsi"/>
                <w:b/>
                <w:bCs/>
                <w:color w:val="000000"/>
                <w:lang w:eastAsia="en-GB"/>
              </w:rPr>
            </w:pPr>
            <w:r w:rsidRPr="00CB14FC">
              <w:rPr>
                <w:rFonts w:cstheme="minorHAnsi"/>
                <w:b/>
                <w:bCs/>
                <w:color w:val="000000"/>
                <w:lang w:eastAsia="en-GB"/>
              </w:rPr>
              <w:t>£714,591</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576752" w14:textId="77777777" w:rsidR="00A15F55" w:rsidRPr="00CB14FC" w:rsidRDefault="00A15F55" w:rsidP="00E67301">
            <w:pPr>
              <w:rPr>
                <w:rFonts w:cstheme="minorHAnsi"/>
                <w:b/>
                <w:bCs/>
                <w:color w:val="000000"/>
                <w:lang w:eastAsia="en-GB"/>
              </w:rPr>
            </w:pPr>
            <w:r w:rsidRPr="00CB14FC">
              <w:rPr>
                <w:rFonts w:cstheme="minorHAnsi"/>
                <w:b/>
                <w:bCs/>
                <w:color w:val="000000"/>
                <w:lang w:eastAsia="en-GB"/>
              </w:rPr>
              <w:t>£1,872,228</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23669E" w14:textId="77777777" w:rsidR="00A15F55" w:rsidRPr="00CB14FC" w:rsidRDefault="00A15F55" w:rsidP="00E67301">
            <w:pPr>
              <w:rPr>
                <w:rFonts w:cstheme="minorHAnsi"/>
                <w:b/>
                <w:bCs/>
                <w:color w:val="000000"/>
                <w:lang w:eastAsia="en-GB"/>
              </w:rPr>
            </w:pPr>
            <w:r w:rsidRPr="00CB14FC">
              <w:rPr>
                <w:rFonts w:cstheme="minorHAnsi"/>
                <w:b/>
                <w:bCs/>
                <w:color w:val="000000"/>
                <w:lang w:eastAsia="en-GB"/>
              </w:rPr>
              <w:t>£2,944,115</w:t>
            </w:r>
          </w:p>
        </w:tc>
      </w:tr>
    </w:tbl>
    <w:p w14:paraId="104A84AC" w14:textId="77777777" w:rsidR="00A15F55" w:rsidRPr="00CB14FC" w:rsidRDefault="00A15F55" w:rsidP="00A15F55">
      <w:pPr>
        <w:rPr>
          <w:rFonts w:cstheme="minorHAnsi"/>
        </w:rPr>
      </w:pPr>
    </w:p>
    <w:p w14:paraId="15D08078" w14:textId="77777777" w:rsidR="00A15F55" w:rsidRPr="00CB14FC" w:rsidRDefault="00A15F55" w:rsidP="00A15F55">
      <w:pPr>
        <w:rPr>
          <w:rFonts w:cstheme="minorHAnsi"/>
        </w:rPr>
      </w:pPr>
      <w:r w:rsidRPr="00CB14FC">
        <w:rPr>
          <w:rFonts w:cstheme="minorHAnsi"/>
        </w:rPr>
        <w:t>MULTIPLY</w:t>
      </w:r>
    </w:p>
    <w:tbl>
      <w:tblPr>
        <w:tblW w:w="5280" w:type="dxa"/>
        <w:tblInd w:w="-1" w:type="dxa"/>
        <w:tblCellMar>
          <w:left w:w="0" w:type="dxa"/>
          <w:right w:w="0" w:type="dxa"/>
        </w:tblCellMar>
        <w:tblLook w:val="04A0" w:firstRow="1" w:lastRow="0" w:firstColumn="1" w:lastColumn="0" w:noHBand="0" w:noVBand="1"/>
      </w:tblPr>
      <w:tblGrid>
        <w:gridCol w:w="1320"/>
        <w:gridCol w:w="1320"/>
        <w:gridCol w:w="1320"/>
        <w:gridCol w:w="1320"/>
      </w:tblGrid>
      <w:tr w:rsidR="00A15F55" w:rsidRPr="00CB14FC" w14:paraId="2DF0F7CA" w14:textId="77777777" w:rsidTr="00E67301">
        <w:trPr>
          <w:trHeight w:val="288"/>
        </w:trPr>
        <w:tc>
          <w:tcPr>
            <w:tcW w:w="13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DD4818" w14:textId="77777777" w:rsidR="00A15F55" w:rsidRPr="00CB14FC" w:rsidRDefault="00A15F55" w:rsidP="00E67301">
            <w:pPr>
              <w:rPr>
                <w:rFonts w:cstheme="minorHAnsi"/>
                <w:b/>
                <w:bCs/>
                <w:color w:val="000000"/>
                <w:lang w:eastAsia="en-GB"/>
              </w:rPr>
            </w:pPr>
            <w:r w:rsidRPr="00CB14FC">
              <w:rPr>
                <w:rFonts w:cstheme="minorHAnsi"/>
                <w:b/>
                <w:bCs/>
                <w:color w:val="000000"/>
                <w:lang w:eastAsia="en-GB"/>
              </w:rPr>
              <w:t>22/23</w:t>
            </w:r>
          </w:p>
        </w:tc>
        <w:tc>
          <w:tcPr>
            <w:tcW w:w="13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623AC05" w14:textId="77777777" w:rsidR="00A15F55" w:rsidRPr="00CB14FC" w:rsidRDefault="00A15F55" w:rsidP="00E67301">
            <w:pPr>
              <w:rPr>
                <w:rFonts w:cstheme="minorHAnsi"/>
                <w:b/>
                <w:bCs/>
                <w:color w:val="000000"/>
                <w:lang w:eastAsia="en-GB"/>
              </w:rPr>
            </w:pPr>
            <w:r w:rsidRPr="00CB14FC">
              <w:rPr>
                <w:rFonts w:cstheme="minorHAnsi"/>
                <w:b/>
                <w:bCs/>
                <w:color w:val="000000"/>
                <w:lang w:eastAsia="en-GB"/>
              </w:rPr>
              <w:t>23/24</w:t>
            </w:r>
          </w:p>
        </w:tc>
        <w:tc>
          <w:tcPr>
            <w:tcW w:w="13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18AF37C" w14:textId="77777777" w:rsidR="00A15F55" w:rsidRPr="00CB14FC" w:rsidRDefault="00A15F55" w:rsidP="00E67301">
            <w:pPr>
              <w:rPr>
                <w:rFonts w:cstheme="minorHAnsi"/>
                <w:b/>
                <w:bCs/>
                <w:color w:val="000000"/>
                <w:lang w:eastAsia="en-GB"/>
              </w:rPr>
            </w:pPr>
            <w:r w:rsidRPr="00CB14FC">
              <w:rPr>
                <w:rFonts w:cstheme="minorHAnsi"/>
                <w:b/>
                <w:bCs/>
                <w:color w:val="000000"/>
                <w:lang w:eastAsia="en-GB"/>
              </w:rPr>
              <w:t>24/25</w:t>
            </w:r>
          </w:p>
        </w:tc>
        <w:tc>
          <w:tcPr>
            <w:tcW w:w="13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AABDAAC" w14:textId="77777777" w:rsidR="00A15F55" w:rsidRPr="00CB14FC" w:rsidRDefault="00A15F55" w:rsidP="00E67301">
            <w:pPr>
              <w:rPr>
                <w:rFonts w:cstheme="minorHAnsi"/>
                <w:b/>
                <w:bCs/>
                <w:color w:val="000000"/>
                <w:lang w:eastAsia="en-GB"/>
              </w:rPr>
            </w:pPr>
            <w:r w:rsidRPr="00CB14FC">
              <w:rPr>
                <w:rFonts w:cstheme="minorHAnsi"/>
                <w:b/>
                <w:bCs/>
                <w:color w:val="000000"/>
                <w:lang w:eastAsia="en-GB"/>
              </w:rPr>
              <w:t>SR</w:t>
            </w:r>
          </w:p>
        </w:tc>
      </w:tr>
      <w:tr w:rsidR="00A15F55" w:rsidRPr="00CB14FC" w14:paraId="3589246F" w14:textId="77777777" w:rsidTr="00E67301">
        <w:trPr>
          <w:trHeight w:val="288"/>
        </w:trPr>
        <w:tc>
          <w:tcPr>
            <w:tcW w:w="13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05ECB3D" w14:textId="77777777" w:rsidR="00A15F55" w:rsidRPr="00CB14FC" w:rsidRDefault="00A15F55" w:rsidP="00E67301">
            <w:pPr>
              <w:rPr>
                <w:rFonts w:cstheme="minorHAnsi"/>
                <w:b/>
                <w:bCs/>
                <w:color w:val="000000"/>
                <w:lang w:eastAsia="en-GB"/>
              </w:rPr>
            </w:pPr>
            <w:r w:rsidRPr="00CB14FC">
              <w:rPr>
                <w:rFonts w:cstheme="minorHAnsi"/>
                <w:b/>
                <w:bCs/>
                <w:color w:val="000000"/>
                <w:lang w:eastAsia="en-GB"/>
              </w:rPr>
              <w:t>£185,794</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A7A83F" w14:textId="77777777" w:rsidR="00A15F55" w:rsidRPr="00CB14FC" w:rsidRDefault="00A15F55" w:rsidP="00E67301">
            <w:pPr>
              <w:rPr>
                <w:rFonts w:cstheme="minorHAnsi"/>
                <w:b/>
                <w:bCs/>
                <w:color w:val="000000"/>
                <w:lang w:eastAsia="en-GB"/>
              </w:rPr>
            </w:pPr>
            <w:r w:rsidRPr="00CB14FC">
              <w:rPr>
                <w:rFonts w:cstheme="minorHAnsi"/>
                <w:b/>
                <w:bCs/>
                <w:color w:val="000000"/>
                <w:lang w:eastAsia="en-GB"/>
              </w:rPr>
              <w:t>£214,377</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EE3E7E" w14:textId="77777777" w:rsidR="00A15F55" w:rsidRPr="00CB14FC" w:rsidRDefault="00A15F55" w:rsidP="00E67301">
            <w:pPr>
              <w:rPr>
                <w:rFonts w:cstheme="minorHAnsi"/>
                <w:b/>
                <w:bCs/>
                <w:color w:val="000000"/>
                <w:lang w:eastAsia="en-GB"/>
              </w:rPr>
            </w:pPr>
            <w:r w:rsidRPr="00CB14FC">
              <w:rPr>
                <w:rFonts w:cstheme="minorHAnsi"/>
                <w:b/>
                <w:bCs/>
                <w:color w:val="000000"/>
                <w:lang w:eastAsia="en-GB"/>
              </w:rPr>
              <w:t>£214,377</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E05E29" w14:textId="77777777" w:rsidR="00A15F55" w:rsidRPr="00CB14FC" w:rsidRDefault="00A15F55" w:rsidP="00E67301">
            <w:pPr>
              <w:rPr>
                <w:rFonts w:cstheme="minorHAnsi"/>
                <w:b/>
                <w:bCs/>
                <w:color w:val="000000"/>
                <w:lang w:eastAsia="en-GB"/>
              </w:rPr>
            </w:pPr>
            <w:r w:rsidRPr="00CB14FC">
              <w:rPr>
                <w:rFonts w:cstheme="minorHAnsi"/>
                <w:b/>
                <w:bCs/>
                <w:color w:val="000000"/>
                <w:lang w:eastAsia="en-GB"/>
              </w:rPr>
              <w:t>£614,548</w:t>
            </w:r>
          </w:p>
        </w:tc>
      </w:tr>
    </w:tbl>
    <w:p w14:paraId="6947927C" w14:textId="77777777" w:rsidR="00A15F55" w:rsidRPr="00CB14FC" w:rsidRDefault="00A15F55" w:rsidP="00A15F55">
      <w:pPr>
        <w:rPr>
          <w:rFonts w:cstheme="minorHAnsi"/>
        </w:rPr>
      </w:pPr>
    </w:p>
    <w:p w14:paraId="10509277" w14:textId="3F82D7B0" w:rsidR="00A15F55" w:rsidRPr="00CB14FC" w:rsidRDefault="00A15F55" w:rsidP="00A15F55">
      <w:pPr>
        <w:rPr>
          <w:rFonts w:cstheme="minorHAnsi"/>
        </w:rPr>
      </w:pPr>
      <w:r w:rsidRPr="00CB14FC">
        <w:rPr>
          <w:rFonts w:cstheme="minorHAnsi"/>
        </w:rPr>
        <w:t xml:space="preserve">The percentage breakdown between years is the same for all local authorities. As you can see, there is a lot of funding to be distributed in a short period of time this financial year, and the for UKSPF a drop in 24/25. Everyone is realistic about the difficulties of spending the money this year, and aware that there is a shortfall in year two that could be partly met by moving the funding between years. The Government has said that it might be possible to request to reallocate an underspend later in the year. However, this uncertainty makes it impossible to plan and develop effective projects as we need to attempt to spend the money this year, and it is almost impossible in the current climate to recruit to very </w:t>
      </w:r>
      <w:r w:rsidR="00CB14FC" w:rsidRPr="00CB14FC">
        <w:rPr>
          <w:rFonts w:cstheme="minorHAnsi"/>
        </w:rPr>
        <w:t>short-term</w:t>
      </w:r>
      <w:r w:rsidRPr="00CB14FC">
        <w:rPr>
          <w:rFonts w:cstheme="minorHAnsi"/>
        </w:rPr>
        <w:t xml:space="preserve"> posts. Working with low income families often requires a period of time to build up trust, whereas we are being given funding to do a short </w:t>
      </w:r>
      <w:r w:rsidR="00CB14FC" w:rsidRPr="00CB14FC">
        <w:rPr>
          <w:rFonts w:cstheme="minorHAnsi"/>
        </w:rPr>
        <w:t>three-month</w:t>
      </w:r>
      <w:r w:rsidRPr="00CB14FC">
        <w:rPr>
          <w:rFonts w:cstheme="minorHAnsi"/>
        </w:rPr>
        <w:t xml:space="preserve"> intervention then leave.  </w:t>
      </w:r>
    </w:p>
    <w:p w14:paraId="367BFB6D" w14:textId="2CA36D74" w:rsidR="00A15F55" w:rsidRPr="00CB14FC" w:rsidRDefault="00A15F55" w:rsidP="00A15F55">
      <w:pPr>
        <w:rPr>
          <w:rFonts w:cstheme="minorHAnsi"/>
        </w:rPr>
      </w:pPr>
      <w:r w:rsidRPr="00CB14FC">
        <w:rPr>
          <w:rFonts w:cstheme="minorHAnsi"/>
        </w:rPr>
        <w:t xml:space="preserve">There were similar issues with the Community Renewal Fund, with the deadlines being very short, then </w:t>
      </w:r>
      <w:r w:rsidR="00CB14FC" w:rsidRPr="00CB14FC">
        <w:rPr>
          <w:rFonts w:cstheme="minorHAnsi"/>
        </w:rPr>
        <w:t>common-sense</w:t>
      </w:r>
      <w:r w:rsidRPr="00CB14FC">
        <w:rPr>
          <w:rFonts w:cstheme="minorHAnsi"/>
        </w:rPr>
        <w:t xml:space="preserve"> prevailing and the deadlines extended. However, if everyone had been realistic from the start, it would have made for better projects as the timescales and staffing could have reflected this.</w:t>
      </w:r>
    </w:p>
    <w:p w14:paraId="4D695E23" w14:textId="3EC2DCAC" w:rsidR="00A15F55" w:rsidRPr="00CB14FC" w:rsidRDefault="00A15F55" w:rsidP="00A15F55">
      <w:pPr>
        <w:rPr>
          <w:rFonts w:cstheme="minorHAnsi"/>
        </w:rPr>
      </w:pPr>
      <w:r w:rsidRPr="00CB14FC">
        <w:rPr>
          <w:rFonts w:cstheme="minorHAnsi"/>
        </w:rPr>
        <w:t xml:space="preserve">These are both UK examples, but </w:t>
      </w:r>
      <w:r w:rsidR="005414BD">
        <w:rPr>
          <w:rFonts w:cstheme="minorHAnsi"/>
        </w:rPr>
        <w:t>TSIs are aware</w:t>
      </w:r>
      <w:r w:rsidRPr="00CB14FC">
        <w:rPr>
          <w:rFonts w:cstheme="minorHAnsi"/>
        </w:rPr>
        <w:t xml:space="preserve"> from discussions with Council colleagues that there are issues with employability funding being available at levels that are difficult to spend this year, before falling steeply next year. This is a</w:t>
      </w:r>
      <w:r w:rsidR="005414BD">
        <w:rPr>
          <w:rFonts w:cstheme="minorHAnsi"/>
        </w:rPr>
        <w:t xml:space="preserve"> long-standing</w:t>
      </w:r>
      <w:r w:rsidRPr="00CB14FC">
        <w:rPr>
          <w:rFonts w:cstheme="minorHAnsi"/>
        </w:rPr>
        <w:t xml:space="preserve"> problem, and</w:t>
      </w:r>
      <w:r w:rsidR="005414BD">
        <w:rPr>
          <w:rFonts w:cstheme="minorHAnsi"/>
        </w:rPr>
        <w:t xml:space="preserve"> whilst</w:t>
      </w:r>
      <w:r w:rsidRPr="00CB14FC">
        <w:rPr>
          <w:rFonts w:cstheme="minorHAnsi"/>
        </w:rPr>
        <w:t xml:space="preserve"> everyone acknowledges that this is a huge inefficiency, no-one seems able to address it. </w:t>
      </w:r>
    </w:p>
    <w:p w14:paraId="07F085A8" w14:textId="087A11AD" w:rsidR="00A15F55" w:rsidRPr="00CB14FC" w:rsidRDefault="00A15F55" w:rsidP="00A15F55">
      <w:pPr>
        <w:rPr>
          <w:rFonts w:cstheme="minorHAnsi"/>
          <w:b/>
          <w:i/>
          <w:color w:val="FF0000"/>
        </w:rPr>
      </w:pPr>
    </w:p>
    <w:p w14:paraId="4E04BF76" w14:textId="01F76198" w:rsidR="00A15F55" w:rsidRPr="00C62CB6" w:rsidRDefault="00A15F55" w:rsidP="00A15F55">
      <w:pPr>
        <w:rPr>
          <w:rFonts w:cstheme="minorHAnsi"/>
          <w:bCs/>
          <w:i/>
          <w:u w:val="single"/>
        </w:rPr>
      </w:pPr>
      <w:r w:rsidRPr="00C62CB6">
        <w:rPr>
          <w:rFonts w:cstheme="minorHAnsi"/>
          <w:bCs/>
          <w:i/>
          <w:u w:val="single"/>
        </w:rPr>
        <w:t>NHS</w:t>
      </w:r>
      <w:r w:rsidR="00CB14FC" w:rsidRPr="00C62CB6">
        <w:rPr>
          <w:rFonts w:cstheme="minorHAnsi"/>
          <w:bCs/>
          <w:i/>
          <w:u w:val="single"/>
        </w:rPr>
        <w:t xml:space="preserve"> </w:t>
      </w:r>
    </w:p>
    <w:p w14:paraId="6AB9496F" w14:textId="49439E92" w:rsidR="00A15F55" w:rsidRPr="00CB14FC" w:rsidRDefault="00A15F55" w:rsidP="00A15F55">
      <w:pPr>
        <w:rPr>
          <w:rFonts w:cstheme="minorHAnsi"/>
          <w:color w:val="000000"/>
        </w:rPr>
      </w:pPr>
      <w:r w:rsidRPr="00CB14FC">
        <w:rPr>
          <w:rFonts w:cstheme="minorHAnsi"/>
          <w:color w:val="000000"/>
          <w:shd w:val="clear" w:color="auto" w:fill="FFFFFF"/>
        </w:rPr>
        <w:t>There are a number of funding issues that make it more difficult to tackle financial security for low-income households.  It would be helpful to get a clearer picture in relation to what funding is spent on poverty and across how many different SG departments. 'Bundling' funding targeted at reducing poverty and requiring co-ordinated partnership action at local level to distribute this funding would be helpful in ensuring that funding was targeted appropriately to local priorities. It is also worth noting that there will be funding that is not labelled as about tackling poverty but will have an impact on poverty. For example, some of the funding that goes through HIE, SDS and so on that is about employment and the economy will have an impact on poverty. The Community Link Worker funding which is part of Primary Care Modernisation should also have an impact on supporting patients with financial security.</w:t>
      </w:r>
    </w:p>
    <w:p w14:paraId="65CC54AF" w14:textId="233E9E13" w:rsidR="00A15F55" w:rsidRPr="00CB14FC" w:rsidRDefault="00A15F55" w:rsidP="00A15F55">
      <w:pPr>
        <w:rPr>
          <w:rFonts w:cstheme="minorHAnsi"/>
          <w:color w:val="000000"/>
          <w:shd w:val="clear" w:color="auto" w:fill="FFFFFF"/>
        </w:rPr>
      </w:pPr>
      <w:r w:rsidRPr="00CB14FC">
        <w:rPr>
          <w:rFonts w:cstheme="minorHAnsi"/>
          <w:color w:val="000000"/>
          <w:shd w:val="clear" w:color="auto" w:fill="FFFFFF"/>
        </w:rPr>
        <w:t>Funding needs to be channelled through one of the statutory partners, but strengthening the role of CPPs in making decisions about spend and asking CPPs to report on this would help. This has been the case with, for example the Alcohol and Drugs Partnerships, where funding comes through the NHS but more and more, SG are looking for evidence of partnership approaches and decisions about use of funding. The approach with ADPs has driven a focus on outcomes and evidencing impact and this is an area for improvement in relation to CPPs. There needs to be investment in supporting CPPs to develop evidence informed action, performance monitoring and impact assessment. SG are just about to start a review of the Community Empowerment Act. This is where the legislation around community planning sits, and the review may strengthen community planning and CPPs. It will be important to influence this review.</w:t>
      </w:r>
    </w:p>
    <w:p w14:paraId="38DD4BD1" w14:textId="4F213D90" w:rsidR="00A15F55" w:rsidRPr="00CB14FC" w:rsidRDefault="00A15F55" w:rsidP="00A15F55">
      <w:pPr>
        <w:rPr>
          <w:rFonts w:cstheme="minorHAnsi"/>
          <w:color w:val="000000"/>
        </w:rPr>
      </w:pPr>
      <w:r w:rsidRPr="00CB14FC">
        <w:rPr>
          <w:rFonts w:cstheme="minorHAnsi"/>
          <w:color w:val="000000"/>
        </w:rPr>
        <w:t>Lack of joined-up working at CPP level on decisions about funding risks duplication of effort and misses opportunities to reach those most in need. We are now seeing this play out with the mental health and young people funding that was channelled through Local Authorities where work is duplicating the work already undertaken by the CPP Mental Health Delivery Group.</w:t>
      </w:r>
    </w:p>
    <w:p w14:paraId="1CB27243" w14:textId="77777777" w:rsidR="00A15F55" w:rsidRPr="00CB14FC" w:rsidRDefault="00A15F55" w:rsidP="00A15F55">
      <w:pPr>
        <w:rPr>
          <w:rFonts w:cstheme="minorHAnsi"/>
          <w:color w:val="000000"/>
          <w:shd w:val="clear" w:color="auto" w:fill="FFFFFF"/>
        </w:rPr>
      </w:pPr>
      <w:r w:rsidRPr="00CB14FC">
        <w:rPr>
          <w:rFonts w:cstheme="minorHAnsi"/>
          <w:color w:val="000000"/>
          <w:shd w:val="clear" w:color="auto" w:fill="FFFFFF"/>
        </w:rPr>
        <w:t>The other issue with funding is in relation to rural poverty. SG still uses SIMD as a tool in relation to making decisions about funding and we know this is not sensitive to rural deprivation, particularly in relation to fuel and transport poverty. SIMD is a useful but rather blunt tool and should be used in conjunction with other relevant indicators. Overall, it needs to be easier for CPPs to access funding and it will be helpful to have greater clarity on the role of CPPs in relation to specific funding streams for tackling poverty. There may be opportunities with the new Shared Prosperity Funding to test out some approaches by placing this funding firmly in the partnership space. </w:t>
      </w:r>
    </w:p>
    <w:p w14:paraId="025A1A68" w14:textId="4C8361AA" w:rsidR="00A15F55" w:rsidRPr="00CB14FC" w:rsidRDefault="00A15F55" w:rsidP="00A15F55">
      <w:pPr>
        <w:rPr>
          <w:rFonts w:cstheme="minorHAnsi"/>
          <w:b/>
          <w:i/>
          <w:color w:val="FF0000"/>
        </w:rPr>
      </w:pPr>
    </w:p>
    <w:p w14:paraId="674689DA" w14:textId="3EF39E6F" w:rsidR="00A15F55" w:rsidRPr="00C62CB6" w:rsidRDefault="00A15F55" w:rsidP="00A15F55">
      <w:pPr>
        <w:rPr>
          <w:rFonts w:cstheme="minorHAnsi"/>
          <w:bCs/>
          <w:iCs/>
          <w:u w:val="single"/>
        </w:rPr>
      </w:pPr>
      <w:r w:rsidRPr="00C62CB6">
        <w:rPr>
          <w:rFonts w:cstheme="minorHAnsi"/>
          <w:bCs/>
          <w:iCs/>
          <w:u w:val="single"/>
        </w:rPr>
        <w:t>Police Scotland</w:t>
      </w:r>
    </w:p>
    <w:p w14:paraId="6A82C6F7" w14:textId="7CC81E7F" w:rsidR="00A15F55" w:rsidRPr="00CB14FC" w:rsidRDefault="00A15F55" w:rsidP="00A15F55">
      <w:pPr>
        <w:rPr>
          <w:rFonts w:cstheme="minorHAnsi"/>
        </w:rPr>
      </w:pPr>
      <w:r w:rsidRPr="00CB14FC">
        <w:rPr>
          <w:rFonts w:cstheme="minorHAnsi"/>
        </w:rPr>
        <w:t>Getting people into work is a key to improving finance within low income households however some people, particularly those who have been out of work longer term, might need extra help designed to meet their needs.  At a meeting of agencies who help re-introduce people to employment they explained ‘double funding’.  This is when a person joins a back to work course, maybe designed for a single parent, however it is clear that literacy is the underlying need and this would be better suited to another provider with specific skill sets.  The person has been signed up to the original ‘course’ for 12 weeks and cannot swap to the other until their 12 weeks is finished, whether they attend or not.  By not attending this can affect their benefits as they seem unwilling to participate.</w:t>
      </w:r>
    </w:p>
    <w:p w14:paraId="4D112D5F" w14:textId="4252C7CF" w:rsidR="00A15F55" w:rsidRPr="00CB14FC" w:rsidRDefault="00A15F55" w:rsidP="00A15F55">
      <w:pPr>
        <w:rPr>
          <w:rFonts w:cstheme="minorHAnsi"/>
        </w:rPr>
      </w:pPr>
      <w:r w:rsidRPr="00CB14FC">
        <w:rPr>
          <w:rFonts w:cstheme="minorHAnsi"/>
        </w:rPr>
        <w:t>Another example experienced by policing in a custody setting has seen some people who need help being excluded because they had a birthday the previous week.  The 3</w:t>
      </w:r>
      <w:r w:rsidRPr="00CB14FC">
        <w:rPr>
          <w:rFonts w:cstheme="minorHAnsi"/>
          <w:vertAlign w:val="superscript"/>
        </w:rPr>
        <w:t>rd</w:t>
      </w:r>
      <w:r w:rsidRPr="00CB14FC">
        <w:rPr>
          <w:rFonts w:cstheme="minorHAnsi"/>
        </w:rPr>
        <w:t xml:space="preserve"> sector funding can be based on such specifics that it unfortunately excludes some people in need.</w:t>
      </w:r>
    </w:p>
    <w:p w14:paraId="3BC84E6E" w14:textId="54F47C56" w:rsidR="00A15F55" w:rsidRPr="00CB14FC" w:rsidRDefault="00A15F55" w:rsidP="00A15F55">
      <w:pPr>
        <w:rPr>
          <w:rFonts w:cstheme="minorHAnsi"/>
        </w:rPr>
      </w:pPr>
      <w:r w:rsidRPr="00CB14FC">
        <w:rPr>
          <w:rFonts w:cstheme="minorHAnsi"/>
        </w:rPr>
        <w:t>A final example highlighted that funders can cause damage in local relationships and wasteful expense of public funds.  At a community event 2 separately funded 3</w:t>
      </w:r>
      <w:r w:rsidRPr="00CB14FC">
        <w:rPr>
          <w:rFonts w:cstheme="minorHAnsi"/>
          <w:vertAlign w:val="superscript"/>
        </w:rPr>
        <w:t>rd</w:t>
      </w:r>
      <w:r w:rsidRPr="00CB14FC">
        <w:rPr>
          <w:rFonts w:cstheme="minorHAnsi"/>
        </w:rPr>
        <w:t xml:space="preserve"> sector organisations both attended to help digitally excluded families by giving our mobile phones, unbeknown to each other. The community soon realised collecting 2 mobile phones each that day and selling them later.</w:t>
      </w:r>
    </w:p>
    <w:p w14:paraId="525E13E1" w14:textId="03A7BC6E" w:rsidR="00A15F55" w:rsidRPr="00CB14FC" w:rsidRDefault="00A15F55" w:rsidP="00A15F55">
      <w:pPr>
        <w:rPr>
          <w:rFonts w:cstheme="minorHAnsi"/>
        </w:rPr>
      </w:pPr>
      <w:r w:rsidRPr="00CB14FC">
        <w:rPr>
          <w:rFonts w:cstheme="minorHAnsi"/>
        </w:rPr>
        <w:t>As we move to a more preventative approach, that takes longer to mature and produce measurable benefits, we are curious if whether current funding periods are sufficient.  Following on from that it is also a consideration about how we judge success; a move to outcome focussed success measures rather than quantity of service users, might allow the system to achieve more value for money.</w:t>
      </w:r>
    </w:p>
    <w:p w14:paraId="30EABDC7" w14:textId="2446E739" w:rsidR="00A15F55" w:rsidRPr="00CB14FC" w:rsidRDefault="00A15F55" w:rsidP="00A15F55">
      <w:pPr>
        <w:rPr>
          <w:rFonts w:cstheme="minorHAnsi"/>
        </w:rPr>
      </w:pPr>
      <w:r w:rsidRPr="00CB14FC">
        <w:rPr>
          <w:rFonts w:cstheme="minorHAnsi"/>
        </w:rPr>
        <w:t>The different social security arrangements in Scotland provide extra help for families however the 2 systems of DWP and Social Security Scotland can cause confusion and an added burden of stretched and anxious families (advised by local teams).</w:t>
      </w:r>
    </w:p>
    <w:p w14:paraId="387F3883" w14:textId="77777777" w:rsidR="00A15F55" w:rsidRPr="00CB14FC" w:rsidRDefault="00A15F55" w:rsidP="00A15F55">
      <w:pPr>
        <w:rPr>
          <w:rFonts w:cstheme="minorHAnsi"/>
        </w:rPr>
      </w:pPr>
      <w:r w:rsidRPr="00CB14FC">
        <w:rPr>
          <w:rFonts w:cstheme="minorHAnsi"/>
        </w:rPr>
        <w:t>Funding comes from so many areas of government and the oversight and evaluation is lacking.  An example during Covid saw a variety of 3</w:t>
      </w:r>
      <w:r w:rsidRPr="00CB14FC">
        <w:rPr>
          <w:rFonts w:cstheme="minorHAnsi"/>
          <w:vertAlign w:val="superscript"/>
        </w:rPr>
        <w:t>rd</w:t>
      </w:r>
      <w:r w:rsidRPr="00CB14FC">
        <w:rPr>
          <w:rFonts w:cstheme="minorHAnsi"/>
        </w:rPr>
        <w:t xml:space="preserve"> sector organisations getting a share of £750k for a year.  This could, with more co-ordination, provided a service for more people for a longer time.</w:t>
      </w:r>
    </w:p>
    <w:p w14:paraId="2311E41D" w14:textId="553489B8" w:rsidR="00A15F55" w:rsidRDefault="00A15F55" w:rsidP="00A15F55">
      <w:pPr>
        <w:rPr>
          <w:b/>
          <w:i/>
          <w:color w:val="FF0000"/>
        </w:rPr>
      </w:pPr>
    </w:p>
    <w:p w14:paraId="5B943C8C" w14:textId="60E3A57E" w:rsidR="001B6749" w:rsidRDefault="001B6749" w:rsidP="00A15F55">
      <w:pPr>
        <w:rPr>
          <w:b/>
          <w:i/>
          <w:color w:val="FF0000"/>
        </w:rPr>
      </w:pPr>
    </w:p>
    <w:p w14:paraId="1850BC6D" w14:textId="6C59596B" w:rsidR="001B6749" w:rsidRDefault="001B6749" w:rsidP="00A15F55">
      <w:pPr>
        <w:rPr>
          <w:b/>
          <w:i/>
          <w:color w:val="FF0000"/>
        </w:rPr>
      </w:pPr>
    </w:p>
    <w:p w14:paraId="3AC84413" w14:textId="2FE85D74" w:rsidR="001B6749" w:rsidRDefault="001B6749" w:rsidP="00A15F55">
      <w:pPr>
        <w:rPr>
          <w:b/>
          <w:i/>
          <w:color w:val="FF0000"/>
        </w:rPr>
      </w:pPr>
    </w:p>
    <w:p w14:paraId="0055E8BC" w14:textId="7ACE339C" w:rsidR="001B6749" w:rsidRDefault="001B6749" w:rsidP="00A15F55">
      <w:pPr>
        <w:rPr>
          <w:b/>
          <w:i/>
          <w:color w:val="FF0000"/>
        </w:rPr>
      </w:pPr>
    </w:p>
    <w:p w14:paraId="539ED42B" w14:textId="0F3E5E73" w:rsidR="001B6749" w:rsidRDefault="001B6749" w:rsidP="00A15F55">
      <w:pPr>
        <w:rPr>
          <w:b/>
          <w:i/>
          <w:color w:val="FF0000"/>
        </w:rPr>
      </w:pPr>
    </w:p>
    <w:p w14:paraId="66BA19AC" w14:textId="0C77C8A9" w:rsidR="001B6749" w:rsidRDefault="001B6749" w:rsidP="00A15F55">
      <w:pPr>
        <w:rPr>
          <w:b/>
          <w:i/>
          <w:color w:val="FF0000"/>
        </w:rPr>
      </w:pPr>
    </w:p>
    <w:p w14:paraId="6A59A175" w14:textId="0B93E9D6" w:rsidR="001B6749" w:rsidRDefault="001B6749" w:rsidP="00A15F55">
      <w:pPr>
        <w:rPr>
          <w:b/>
          <w:i/>
          <w:color w:val="FF0000"/>
        </w:rPr>
      </w:pPr>
    </w:p>
    <w:p w14:paraId="447E7289" w14:textId="41FCC9A9" w:rsidR="001B6749" w:rsidRDefault="001B6749" w:rsidP="00A15F55">
      <w:pPr>
        <w:rPr>
          <w:b/>
          <w:i/>
          <w:color w:val="FF0000"/>
        </w:rPr>
      </w:pPr>
    </w:p>
    <w:p w14:paraId="19D134B5" w14:textId="09DFD534" w:rsidR="001B6749" w:rsidRDefault="001B6749" w:rsidP="00A15F55">
      <w:pPr>
        <w:rPr>
          <w:b/>
          <w:i/>
          <w:color w:val="FF0000"/>
        </w:rPr>
      </w:pPr>
    </w:p>
    <w:p w14:paraId="6B02F05F" w14:textId="6ACC6D76" w:rsidR="001B6749" w:rsidRDefault="001B6749" w:rsidP="00A15F55">
      <w:pPr>
        <w:rPr>
          <w:b/>
          <w:i/>
          <w:color w:val="FF0000"/>
        </w:rPr>
      </w:pPr>
    </w:p>
    <w:p w14:paraId="3F9038EF" w14:textId="1AE5066A" w:rsidR="001B6749" w:rsidRDefault="001B6749" w:rsidP="00A15F55">
      <w:pPr>
        <w:rPr>
          <w:b/>
          <w:i/>
          <w:color w:val="FF0000"/>
        </w:rPr>
      </w:pPr>
    </w:p>
    <w:p w14:paraId="5F33BEF6" w14:textId="5F31D4E2" w:rsidR="001B6749" w:rsidRDefault="001B6749" w:rsidP="00A15F55">
      <w:pPr>
        <w:rPr>
          <w:b/>
          <w:i/>
          <w:color w:val="FF0000"/>
        </w:rPr>
      </w:pPr>
    </w:p>
    <w:p w14:paraId="15C0C310" w14:textId="1F07F1F0" w:rsidR="001B6749" w:rsidRDefault="001B6749" w:rsidP="00A15F55">
      <w:pPr>
        <w:rPr>
          <w:b/>
          <w:i/>
          <w:color w:val="FF0000"/>
        </w:rPr>
      </w:pPr>
    </w:p>
    <w:p w14:paraId="0ED955B6" w14:textId="48DFBFD0" w:rsidR="001B6749" w:rsidRDefault="001B6749" w:rsidP="001B6749">
      <w:pPr>
        <w:pStyle w:val="Heading1"/>
      </w:pPr>
      <w:r>
        <w:t>SECTION 3 – REPORTING AND GOVERNANCE</w:t>
      </w:r>
    </w:p>
    <w:p w14:paraId="4ACE7032" w14:textId="77777777" w:rsidR="001B6749" w:rsidRPr="001B6749" w:rsidRDefault="001B6749" w:rsidP="001B6749"/>
    <w:tbl>
      <w:tblPr>
        <w:tblStyle w:val="TableGrid"/>
        <w:tblW w:w="0" w:type="auto"/>
        <w:tblLook w:val="04A0" w:firstRow="1" w:lastRow="0" w:firstColumn="1" w:lastColumn="0" w:noHBand="0" w:noVBand="1"/>
      </w:tblPr>
      <w:tblGrid>
        <w:gridCol w:w="9854"/>
      </w:tblGrid>
      <w:tr w:rsidR="001B6749" w:rsidRPr="001B6749" w14:paraId="040C4A93" w14:textId="77777777" w:rsidTr="00411F30">
        <w:trPr>
          <w:trHeight w:val="2585"/>
        </w:trPr>
        <w:tc>
          <w:tcPr>
            <w:tcW w:w="9854" w:type="dxa"/>
          </w:tcPr>
          <w:p w14:paraId="73B58AF3" w14:textId="652165F3" w:rsidR="001B6749" w:rsidRDefault="001B6749" w:rsidP="00AA5892">
            <w:pPr>
              <w:pStyle w:val="Heading2"/>
              <w:outlineLvl w:val="1"/>
            </w:pPr>
            <w:r w:rsidRPr="001B6749">
              <w:t>How do we reduce the complexity of recording, reporting, and inspection frameworks which create both a burden and lack of clarity in relation to shared outcomes and priorities?</w:t>
            </w:r>
          </w:p>
          <w:p w14:paraId="4D511483" w14:textId="77777777" w:rsidR="001B6749" w:rsidRPr="001B6749" w:rsidRDefault="001B6749" w:rsidP="001B6749"/>
          <w:p w14:paraId="16A07C26" w14:textId="77777777" w:rsidR="001B6749" w:rsidRPr="001B6749" w:rsidRDefault="001B6749" w:rsidP="00AA5892">
            <w:pPr>
              <w:rPr>
                <w:b/>
                <w:i/>
                <w:color w:val="000000"/>
              </w:rPr>
            </w:pPr>
            <w:r w:rsidRPr="001B6749">
              <w:rPr>
                <w:b/>
                <w:i/>
                <w:color w:val="000000"/>
              </w:rPr>
              <w:t>Key Points</w:t>
            </w:r>
          </w:p>
          <w:p w14:paraId="25C778A0" w14:textId="77777777" w:rsidR="001B6749" w:rsidRPr="001B6749" w:rsidRDefault="001B6749" w:rsidP="004E6BD9">
            <w:pPr>
              <w:numPr>
                <w:ilvl w:val="0"/>
                <w:numId w:val="4"/>
              </w:numPr>
              <w:rPr>
                <w:i/>
                <w:iCs/>
              </w:rPr>
            </w:pPr>
            <w:r w:rsidRPr="001B6749">
              <w:t xml:space="preserve">The funding drives the reporting.  </w:t>
            </w:r>
            <w:r w:rsidRPr="001B6749">
              <w:rPr>
                <w:i/>
                <w:iCs/>
              </w:rPr>
              <w:t>Funding timescales&gt;lack of evaluation&gt;lack of trust&gt;need greater assurance via reporting</w:t>
            </w:r>
          </w:p>
          <w:p w14:paraId="43FD779E" w14:textId="77777777" w:rsidR="001B6749" w:rsidRDefault="001B6749" w:rsidP="004E6BD9">
            <w:pPr>
              <w:numPr>
                <w:ilvl w:val="0"/>
                <w:numId w:val="4"/>
              </w:numPr>
            </w:pPr>
            <w:r w:rsidRPr="001B6749">
              <w:t>The administrative task to produce Annual Child Poverty Action Reports is onerous, and undermines delivery, development and evaluation of interventions.  A move to a 3-year tackling child poverty strategy would be a more effective and less labour-intensive way of bringing about improvements in this area</w:t>
            </w:r>
          </w:p>
          <w:p w14:paraId="27F1D886" w14:textId="3A8CBB62" w:rsidR="001B6749" w:rsidRPr="001B6749" w:rsidRDefault="001B6749" w:rsidP="001B6749">
            <w:pPr>
              <w:ind w:left="360"/>
            </w:pPr>
          </w:p>
        </w:tc>
      </w:tr>
    </w:tbl>
    <w:p w14:paraId="00CCBE5A" w14:textId="77777777" w:rsidR="00D35F96" w:rsidRDefault="00D35F96"/>
    <w:p w14:paraId="75C36745" w14:textId="76B7F2EE" w:rsidR="000E41B6" w:rsidRDefault="00C62CB6" w:rsidP="001B6749">
      <w:pPr>
        <w:pStyle w:val="Heading2"/>
      </w:pPr>
      <w:r>
        <w:t>National</w:t>
      </w:r>
      <w:r w:rsidR="000E41B6" w:rsidRPr="007B7A46">
        <w:t xml:space="preserve"> policy reporting frameworks which currently exist in relation to Financial Security in general and/or child poverty (as an example of financial s</w:t>
      </w:r>
      <w:r w:rsidR="000E41B6">
        <w:t xml:space="preserve">ecurity) and which are </w:t>
      </w:r>
      <w:r w:rsidR="000E41B6" w:rsidRPr="007B7A46">
        <w:t>causing blockages</w:t>
      </w:r>
    </w:p>
    <w:p w14:paraId="09EF7AF7" w14:textId="77777777" w:rsidR="001B6749" w:rsidRPr="001B6749" w:rsidRDefault="001B6749" w:rsidP="001B6749"/>
    <w:p w14:paraId="576644DA" w14:textId="2046C039" w:rsidR="00D35F96" w:rsidRDefault="00D35F96">
      <w:r>
        <w:t>Improvement Service</w:t>
      </w:r>
    </w:p>
    <w:p w14:paraId="7056F430" w14:textId="77777777" w:rsidR="00D35F96" w:rsidRPr="00E20437" w:rsidRDefault="00D35F96" w:rsidP="00D35F96">
      <w:pPr>
        <w:rPr>
          <w:b/>
          <w:bCs/>
        </w:rPr>
      </w:pPr>
      <w:r w:rsidRPr="00E20437">
        <w:rPr>
          <w:b/>
          <w:bCs/>
        </w:rPr>
        <w:t>Local Child Poverty Action reports</w:t>
      </w:r>
    </w:p>
    <w:p w14:paraId="5F3CB396" w14:textId="48DE7D5F" w:rsidR="00D35F96" w:rsidRDefault="00D35F96" w:rsidP="001B6749">
      <w:r>
        <w:t xml:space="preserve">Under section 13 of the Child Poverty (Scotland) Act 2017, local authorities and territorial health boards are required to produce annual local child poverty action reports highlighting what they have done and what they plan to do to contribute to national child poverty reduction targets. </w:t>
      </w:r>
    </w:p>
    <w:p w14:paraId="5DA04AB9" w14:textId="01B54257" w:rsidR="00D35F96" w:rsidRDefault="00D35F96" w:rsidP="00D35F96">
      <w:r>
        <w:t xml:space="preserve">The duty was placed on local authorities and health boards because there was no legal mechanisms by which the duty could be placed on community planning partnerships. </w:t>
      </w:r>
    </w:p>
    <w:p w14:paraId="4E06265E" w14:textId="77777777" w:rsidR="00D35F96" w:rsidRDefault="00D35F96" w:rsidP="00D35F96">
      <w:pPr>
        <w:rPr>
          <w:b/>
        </w:rPr>
      </w:pPr>
      <w:r w:rsidRPr="003300F4">
        <w:t>The LCPAR process is increasingly embedded in a wider strategic framework. Most LCPAR’s describe how their work on tackling child poverty links to wider corporate commitments. For example, many have an overarching aim in their Local Outcome Improvement Plan that refers to reducing inequality and/or poverty (some – such as Angus, child poverty specifically) and this forms a strategic link between the LCPAR and the LOIP.</w:t>
      </w:r>
    </w:p>
    <w:p w14:paraId="12898BF3" w14:textId="279303D1" w:rsidR="00D35F96" w:rsidRPr="003300F4" w:rsidRDefault="00D35F96" w:rsidP="00D35F96">
      <w:r w:rsidRPr="003300F4">
        <w:t xml:space="preserve">Leads highlighted that while the annual reporting duty is onerous and ‘can feel like it is swamping you’, it does help to keep a focus on child poverty and ‘being disciplined about monitoring our actions’. One lead noted, ‘I think we have made amazing progress over the last few years in terms of more focus on child poverty and finessing our response to address the three drivers’. </w:t>
      </w:r>
    </w:p>
    <w:p w14:paraId="181FA4EE" w14:textId="403F0642" w:rsidR="00D35F96" w:rsidRPr="003300F4" w:rsidRDefault="00D35F96" w:rsidP="00D35F96">
      <w:pPr>
        <w:rPr>
          <w:b/>
        </w:rPr>
      </w:pPr>
      <w:r>
        <w:t>The annual nature of LCPA Reporting is proving problematic in some areas, with leads feeling under resourced. They complain that the scale of the</w:t>
      </w:r>
      <w:r w:rsidRPr="003300F4">
        <w:t xml:space="preserve"> </w:t>
      </w:r>
      <w:r w:rsidRPr="003300F4">
        <w:rPr>
          <w:b/>
        </w:rPr>
        <w:t>administrative task</w:t>
      </w:r>
      <w:r>
        <w:rPr>
          <w:b/>
        </w:rPr>
        <w:t xml:space="preserve"> is overwhelming</w:t>
      </w:r>
      <w:r w:rsidRPr="003300F4">
        <w:t xml:space="preserve">. </w:t>
      </w:r>
      <w:r>
        <w:t>Complaints</w:t>
      </w:r>
      <w:r w:rsidRPr="003300F4">
        <w:t xml:space="preserve"> include</w:t>
      </w:r>
      <w:r w:rsidRPr="003300F4">
        <w:rPr>
          <w:b/>
        </w:rPr>
        <w:t>:</w:t>
      </w:r>
    </w:p>
    <w:p w14:paraId="11070040" w14:textId="77777777" w:rsidR="00D35F96" w:rsidRPr="003300F4" w:rsidRDefault="00D35F96" w:rsidP="004E6BD9">
      <w:pPr>
        <w:numPr>
          <w:ilvl w:val="0"/>
          <w:numId w:val="8"/>
        </w:numPr>
        <w:spacing w:after="0" w:line="240" w:lineRule="auto"/>
      </w:pPr>
      <w:r w:rsidRPr="003300F4">
        <w:t>‘Governance arrangements are complex and lengthy – often going through Council, NHS and CPP Boards and sometimes others too (HSCP). This leaves little time to develop new work.’</w:t>
      </w:r>
    </w:p>
    <w:p w14:paraId="54A15D28" w14:textId="77777777" w:rsidR="00D35F96" w:rsidRDefault="00D35F96" w:rsidP="004E6BD9">
      <w:pPr>
        <w:numPr>
          <w:ilvl w:val="0"/>
          <w:numId w:val="8"/>
        </w:numPr>
        <w:spacing w:after="0" w:line="240" w:lineRule="auto"/>
      </w:pPr>
      <w:r w:rsidRPr="003300F4">
        <w:t>‘Report writing distracts from other aspects of the work- especially monitoring and evaluation – even though you are aware of how important these aspects are – they draw on the same resources and there isn’t enough to do everything (so you focus on the statutory).’</w:t>
      </w:r>
    </w:p>
    <w:p w14:paraId="4D7FB36D" w14:textId="77777777" w:rsidR="00D35F96" w:rsidRDefault="00D35F96" w:rsidP="004E6BD9">
      <w:pPr>
        <w:numPr>
          <w:ilvl w:val="0"/>
          <w:numId w:val="8"/>
        </w:numPr>
        <w:spacing w:after="0" w:line="240" w:lineRule="auto"/>
      </w:pPr>
      <w:r w:rsidRPr="003300F4">
        <w:rPr>
          <w:b/>
        </w:rPr>
        <w:t>Resources:</w:t>
      </w:r>
      <w:r w:rsidRPr="003300F4">
        <w:t xml:space="preserve"> ‘Without </w:t>
      </w:r>
      <w:r w:rsidRPr="003300F4">
        <w:rPr>
          <w:b/>
        </w:rPr>
        <w:t>additional resources and someone to lead on this programme</w:t>
      </w:r>
      <w:r w:rsidRPr="003300F4">
        <w:t xml:space="preserve"> it risks becoming a tick-box exercise. We have a joint plan and there are gaps but not strong momentum around how to address them.</w:t>
      </w:r>
      <w:r>
        <w:t>’</w:t>
      </w:r>
    </w:p>
    <w:p w14:paraId="7A58131C" w14:textId="54D921A0" w:rsidR="00D35F96" w:rsidRDefault="00D35F96" w:rsidP="004E6BD9">
      <w:pPr>
        <w:numPr>
          <w:ilvl w:val="0"/>
          <w:numId w:val="8"/>
        </w:numPr>
        <w:spacing w:after="0" w:line="240" w:lineRule="auto"/>
      </w:pPr>
      <w:r w:rsidRPr="003300F4">
        <w:rPr>
          <w:i/>
        </w:rPr>
        <w:t xml:space="preserve">‘The duty is to provide a report. It’s not a strategy or an action plan – but a report. To me this is an acknowledgement </w:t>
      </w:r>
      <w:r w:rsidRPr="003300F4">
        <w:rPr>
          <w:b/>
          <w:i/>
        </w:rPr>
        <w:t>that we can’t effectively strategize without additional resource to do that properly</w:t>
      </w:r>
      <w:r w:rsidRPr="003300F4">
        <w:rPr>
          <w:i/>
        </w:rPr>
        <w:t xml:space="preserve">. We need additional resource to take child poverty work forward effectively at local level. We also need </w:t>
      </w:r>
      <w:r w:rsidRPr="003300F4">
        <w:rPr>
          <w:b/>
          <w:i/>
        </w:rPr>
        <w:t>additional resource for the actions that we know will be effective locally – or to test what we think will be effective in our area</w:t>
      </w:r>
      <w:r w:rsidRPr="003300F4">
        <w:rPr>
          <w:i/>
        </w:rPr>
        <w:t>. Pots or funding directed towards particular initiatives are good – but sometimes they don’t fit with what we know need to happen locally. ‘</w:t>
      </w:r>
    </w:p>
    <w:p w14:paraId="28EBEC51" w14:textId="77777777" w:rsidR="00D35F96" w:rsidRDefault="00D35F96" w:rsidP="00D35F96">
      <w:pPr>
        <w:spacing w:after="0" w:line="240" w:lineRule="auto"/>
        <w:ind w:left="360"/>
      </w:pPr>
    </w:p>
    <w:p w14:paraId="33514BD7" w14:textId="1A7C83ED" w:rsidR="00C62CB6" w:rsidRDefault="00D35F96">
      <w:r>
        <w:t xml:space="preserve">There is growing consensus among local leads that a three-year tackling child poverty strategy – alongside annual update reports – might be a more effective and less labour-intensive way of bringing about improvements in this area. IS will be engaging with the Scottish Government on this issue in relation to the likely refresh of the existing Guidance on Local Child Poverty Action Reporting in 2022. </w:t>
      </w:r>
    </w:p>
    <w:p w14:paraId="35DDD7DE" w14:textId="77777777" w:rsidR="001B6749" w:rsidRDefault="001B6749"/>
    <w:p w14:paraId="1BC8B26C" w14:textId="69AF5270" w:rsidR="00D35F96" w:rsidRPr="00C62CB6" w:rsidRDefault="00D35F96">
      <w:pPr>
        <w:rPr>
          <w:u w:val="single"/>
        </w:rPr>
      </w:pPr>
      <w:r w:rsidRPr="00C62CB6">
        <w:rPr>
          <w:u w:val="single"/>
        </w:rPr>
        <w:t xml:space="preserve">NHS </w:t>
      </w:r>
    </w:p>
    <w:p w14:paraId="6DD263AB" w14:textId="77777777" w:rsidR="00D35F96" w:rsidRDefault="00D35F96" w:rsidP="00D35F96">
      <w:pPr>
        <w:rPr>
          <w:rStyle w:val="xelementtoproof"/>
          <w:rFonts w:cstheme="minorHAnsi"/>
          <w:color w:val="000000"/>
        </w:rPr>
      </w:pPr>
      <w:r w:rsidRPr="00D35F96">
        <w:rPr>
          <w:rFonts w:cstheme="minorHAnsi"/>
          <w:color w:val="000000"/>
          <w:shd w:val="clear" w:color="auto" w:fill="FFFFFF"/>
        </w:rPr>
        <w:t xml:space="preserve">Reporting and governance is one of the greatest barriers to partnership working and having a joined-up approach to any issue. It </w:t>
      </w:r>
      <w:r>
        <w:rPr>
          <w:rFonts w:cstheme="minorHAnsi"/>
          <w:color w:val="000000"/>
          <w:shd w:val="clear" w:color="auto" w:fill="FFFFFF"/>
        </w:rPr>
        <w:t>would</w:t>
      </w:r>
      <w:r w:rsidRPr="00D35F96">
        <w:rPr>
          <w:rFonts w:cstheme="minorHAnsi"/>
          <w:color w:val="000000"/>
          <w:shd w:val="clear" w:color="auto" w:fill="FFFFFF"/>
        </w:rPr>
        <w:t xml:space="preserve"> be interesting to see this mapped out for poverty/financial security. The </w:t>
      </w:r>
      <w:r w:rsidRPr="00D35F96">
        <w:rPr>
          <w:rStyle w:val="xelementtoproof"/>
          <w:rFonts w:cstheme="minorHAnsi"/>
          <w:color w:val="000000"/>
        </w:rPr>
        <w:t xml:space="preserve">cluttered landscape means that we miss an overall partnership approach from CPPs to understand how the different workstreams might best connect and what the overall need is. There is some work to do on understanding how we record impact. </w:t>
      </w:r>
    </w:p>
    <w:p w14:paraId="6DBFF99D" w14:textId="4E0A35D8" w:rsidR="00D35F96" w:rsidRDefault="00D35F96">
      <w:pPr>
        <w:rPr>
          <w:rFonts w:cstheme="minorHAnsi"/>
          <w:color w:val="000000"/>
        </w:rPr>
      </w:pPr>
      <w:r w:rsidRPr="00D35F96">
        <w:rPr>
          <w:rStyle w:val="xelementtoproof"/>
          <w:rFonts w:cstheme="minorHAnsi"/>
          <w:color w:val="000000"/>
        </w:rPr>
        <w:t>The child poverty plan talks about root causes through three main drivers - increasing income through entitlements, increasing income through work and reducing the cost of living. This might be a useful way to consider actions taken under each of these headings and where we get our biggest return on investment. There may be an opportunity to influence through the SG review of the Community Empowerment Act.</w:t>
      </w:r>
    </w:p>
    <w:p w14:paraId="78C07B7A" w14:textId="77777777" w:rsidR="00C62CB6" w:rsidRPr="00C62CB6" w:rsidRDefault="00C62CB6">
      <w:pPr>
        <w:rPr>
          <w:rFonts w:cstheme="minorHAnsi"/>
          <w:color w:val="000000"/>
        </w:rPr>
      </w:pPr>
    </w:p>
    <w:p w14:paraId="6D05FF79" w14:textId="6748AA04" w:rsidR="00D35F96" w:rsidRPr="00C62CB6" w:rsidRDefault="00D35F96">
      <w:pPr>
        <w:rPr>
          <w:u w:val="single"/>
        </w:rPr>
      </w:pPr>
      <w:r w:rsidRPr="00C62CB6">
        <w:rPr>
          <w:u w:val="single"/>
        </w:rPr>
        <w:t>P</w:t>
      </w:r>
      <w:r w:rsidR="00D942A3" w:rsidRPr="00C62CB6">
        <w:rPr>
          <w:u w:val="single"/>
        </w:rPr>
        <w:t>olice Scotland</w:t>
      </w:r>
      <w:r w:rsidRPr="00C62CB6">
        <w:rPr>
          <w:u w:val="single"/>
        </w:rPr>
        <w:t xml:space="preserve"> </w:t>
      </w:r>
    </w:p>
    <w:p w14:paraId="75C24A9E" w14:textId="77777777" w:rsidR="00D35F96" w:rsidRDefault="00D35F96" w:rsidP="00D35F96">
      <w:r>
        <w:t xml:space="preserve">What do we need to know – who needs to know it – how often to do they need to know. </w:t>
      </w:r>
    </w:p>
    <w:p w14:paraId="39B57779" w14:textId="36C7988C" w:rsidR="00D35F96" w:rsidRDefault="00D35F96" w:rsidP="00D35F96">
      <w:r>
        <w:t>This need for reporting comes from lack of initial planning to understand and evaluate what works.  Does the need to continue to prove worth, after worth has been established need to be done monthly or quarterly?</w:t>
      </w:r>
    </w:p>
    <w:p w14:paraId="06EC177B" w14:textId="77777777" w:rsidR="004728DA" w:rsidRDefault="004728DA" w:rsidP="00D35F96">
      <w:pPr>
        <w:sectPr w:rsidR="004728DA" w:rsidSect="00475982">
          <w:pgSz w:w="11906" w:h="16838"/>
          <w:pgMar w:top="1021" w:right="1021" w:bottom="1021" w:left="1021" w:header="709" w:footer="709" w:gutter="0"/>
          <w:cols w:space="708"/>
          <w:docGrid w:linePitch="360"/>
        </w:sectPr>
      </w:pPr>
    </w:p>
    <w:p w14:paraId="2A4D8D6C" w14:textId="77777777" w:rsidR="004728DA" w:rsidRPr="0048515A" w:rsidRDefault="004728DA" w:rsidP="004728DA">
      <w:pPr>
        <w:pStyle w:val="Heading1"/>
      </w:pPr>
      <w:r w:rsidRPr="0048515A">
        <w:t>Annexe 1</w:t>
      </w:r>
    </w:p>
    <w:p w14:paraId="7C372380" w14:textId="77777777" w:rsidR="004728DA" w:rsidRDefault="004728DA" w:rsidP="004728DA"/>
    <w:p w14:paraId="13F3B18E" w14:textId="7152135E" w:rsidR="004728DA" w:rsidRPr="004728DA" w:rsidRDefault="004728DA" w:rsidP="004728DA">
      <w:pPr>
        <w:rPr>
          <w:b/>
          <w:bCs/>
        </w:rPr>
      </w:pPr>
      <w:r>
        <w:rPr>
          <w:b/>
          <w:bCs/>
        </w:rPr>
        <w:t xml:space="preserve">1. </w:t>
      </w:r>
      <w:r w:rsidRPr="00253DCF">
        <w:rPr>
          <w:b/>
          <w:bCs/>
        </w:rPr>
        <w:t>Information Commissioners Office website case studies:</w:t>
      </w:r>
    </w:p>
    <w:p w14:paraId="06EF4AFD" w14:textId="77777777" w:rsidR="004728DA" w:rsidRDefault="004728DA" w:rsidP="004E6BD9">
      <w:pPr>
        <w:pStyle w:val="NormalWeb"/>
        <w:numPr>
          <w:ilvl w:val="1"/>
          <w:numId w:val="11"/>
        </w:numPr>
        <w:spacing w:before="0" w:beforeAutospacing="0" w:after="0" w:afterAutospacing="0"/>
        <w:contextualSpacing/>
        <w:rPr>
          <w:color w:val="000000"/>
          <w:sz w:val="23"/>
          <w:szCs w:val="23"/>
        </w:rPr>
      </w:pPr>
      <w:r>
        <w:rPr>
          <w:rStyle w:val="Strong"/>
          <w:color w:val="000000"/>
          <w:sz w:val="23"/>
          <w:szCs w:val="23"/>
        </w:rPr>
        <w:t>Public sector bodies sharing data to provide a co-ordinated approach</w:t>
      </w:r>
    </w:p>
    <w:p w14:paraId="251C7A71" w14:textId="77777777" w:rsidR="004728DA" w:rsidRDefault="004728DA" w:rsidP="004728DA">
      <w:pPr>
        <w:pStyle w:val="NormalWeb"/>
        <w:spacing w:before="0" w:beforeAutospacing="0" w:after="0" w:afterAutospacing="0"/>
        <w:contextualSpacing/>
        <w:rPr>
          <w:color w:val="000000"/>
          <w:sz w:val="23"/>
          <w:szCs w:val="23"/>
        </w:rPr>
      </w:pPr>
      <w:r>
        <w:rPr>
          <w:color w:val="000000"/>
          <w:sz w:val="23"/>
          <w:szCs w:val="23"/>
        </w:rPr>
        <w:t>Personal information was shared between two councils, their local schools and colleges, housing providers, relevant community organisations, the local job centres and careers service in order to identify young people who already had been or were currently at high risk of disengaging from education, employment or training. By sharing the information, the partner organisations were able to ensure a co-ordinated approach to providing the most appropriate support to the young person to encourage them back into education, work or training.</w:t>
      </w:r>
    </w:p>
    <w:p w14:paraId="5092132C" w14:textId="77777777" w:rsidR="004728DA" w:rsidRDefault="004728DA" w:rsidP="004728DA">
      <w:pPr>
        <w:pStyle w:val="NormalWeb"/>
        <w:spacing w:before="0" w:beforeAutospacing="0" w:after="0" w:afterAutospacing="0"/>
        <w:contextualSpacing/>
        <w:rPr>
          <w:color w:val="000000"/>
          <w:sz w:val="23"/>
          <w:szCs w:val="23"/>
        </w:rPr>
      </w:pPr>
    </w:p>
    <w:p w14:paraId="1C2D6327" w14:textId="337D07C2" w:rsidR="004728DA" w:rsidRDefault="004728DA" w:rsidP="004728DA">
      <w:pPr>
        <w:pStyle w:val="NormalWeb"/>
        <w:spacing w:before="0" w:beforeAutospacing="0" w:after="0" w:afterAutospacing="0"/>
        <w:contextualSpacing/>
        <w:rPr>
          <w:color w:val="000000"/>
          <w:sz w:val="23"/>
          <w:szCs w:val="23"/>
        </w:rPr>
      </w:pPr>
      <w:r>
        <w:rPr>
          <w:color w:val="000000"/>
          <w:sz w:val="23"/>
          <w:szCs w:val="23"/>
        </w:rPr>
        <w:t>The partners used a data sharing agreement to set out their purpose, lawful bases and the information to be shared. The agreement included a section on how to handle data subjects’ rights, and agreed shared security standards; the partners also updated their privacy notices. To quality-assure their agreement, they shared it with a regional group of data protection practitioners for feedback. A timescale was also set for the partners to regularly review the agreement to ensure it stayed up to date and fit for purpose.</w:t>
      </w:r>
    </w:p>
    <w:p w14:paraId="5E9F6123" w14:textId="77777777" w:rsidR="004728DA" w:rsidRDefault="004728DA" w:rsidP="004728DA">
      <w:pPr>
        <w:pStyle w:val="NormalWeb"/>
        <w:spacing w:before="0" w:beforeAutospacing="0" w:after="0" w:afterAutospacing="0"/>
        <w:contextualSpacing/>
        <w:rPr>
          <w:color w:val="000000"/>
          <w:sz w:val="23"/>
          <w:szCs w:val="23"/>
        </w:rPr>
      </w:pPr>
    </w:p>
    <w:p w14:paraId="14419D2C" w14:textId="77777777" w:rsidR="004728DA" w:rsidRPr="00F033C1" w:rsidRDefault="004728DA" w:rsidP="004E6BD9">
      <w:pPr>
        <w:pStyle w:val="ListParagraph"/>
        <w:numPr>
          <w:ilvl w:val="1"/>
          <w:numId w:val="11"/>
        </w:numPr>
        <w:contextualSpacing/>
        <w:rPr>
          <w:color w:val="000000"/>
          <w:sz w:val="23"/>
          <w:szCs w:val="23"/>
          <w:lang w:eastAsia="en-GB"/>
        </w:rPr>
      </w:pPr>
      <w:r w:rsidRPr="00F033C1">
        <w:rPr>
          <w:b/>
          <w:bCs/>
          <w:color w:val="000000"/>
          <w:sz w:val="23"/>
          <w:szCs w:val="23"/>
          <w:lang w:eastAsia="en-GB"/>
        </w:rPr>
        <w:t>Sharing data between a local authority and local NHS trust to provide better early help and support to families</w:t>
      </w:r>
    </w:p>
    <w:p w14:paraId="343757D5" w14:textId="77777777" w:rsidR="004728DA" w:rsidRDefault="004728DA" w:rsidP="004728DA">
      <w:pPr>
        <w:contextualSpacing/>
        <w:rPr>
          <w:color w:val="000000"/>
          <w:sz w:val="23"/>
          <w:szCs w:val="23"/>
          <w:lang w:eastAsia="en-GB"/>
        </w:rPr>
      </w:pPr>
      <w:r w:rsidRPr="00F033C1">
        <w:rPr>
          <w:color w:val="000000"/>
          <w:sz w:val="23"/>
          <w:szCs w:val="23"/>
          <w:lang w:eastAsia="en-GB"/>
        </w:rPr>
        <w:t>Families sometimes have hidden needs so don’t receive the support they require from public services – or may be receiving support through one organisation for a specific issue, but have other needs too.</w:t>
      </w:r>
    </w:p>
    <w:p w14:paraId="4A315EB8" w14:textId="77777777" w:rsidR="004728DA" w:rsidRPr="00F033C1" w:rsidRDefault="004728DA" w:rsidP="004728DA">
      <w:pPr>
        <w:contextualSpacing/>
        <w:rPr>
          <w:color w:val="000000"/>
          <w:sz w:val="23"/>
          <w:szCs w:val="23"/>
          <w:lang w:eastAsia="en-GB"/>
        </w:rPr>
      </w:pPr>
    </w:p>
    <w:p w14:paraId="630B989A" w14:textId="77777777" w:rsidR="004728DA" w:rsidRDefault="004728DA" w:rsidP="004728DA">
      <w:pPr>
        <w:contextualSpacing/>
        <w:rPr>
          <w:color w:val="000000"/>
          <w:sz w:val="23"/>
          <w:szCs w:val="23"/>
          <w:lang w:eastAsia="en-GB"/>
        </w:rPr>
      </w:pPr>
      <w:r>
        <w:rPr>
          <w:color w:val="000000"/>
          <w:sz w:val="23"/>
          <w:szCs w:val="23"/>
          <w:lang w:eastAsia="en-GB"/>
        </w:rPr>
        <w:t>A council worked with an NHS trust to establish a data sharing arrangement between the council and health services to help identify children and families who would benefit from receiving co-ordinated and targeted early help for a range of issues they might be facing.</w:t>
      </w:r>
    </w:p>
    <w:p w14:paraId="4EEA2B07" w14:textId="77777777" w:rsidR="004728DA" w:rsidRDefault="004728DA" w:rsidP="004728DA">
      <w:pPr>
        <w:contextualSpacing/>
        <w:rPr>
          <w:color w:val="000000"/>
          <w:sz w:val="23"/>
          <w:szCs w:val="23"/>
          <w:lang w:eastAsia="en-GB"/>
        </w:rPr>
      </w:pPr>
    </w:p>
    <w:p w14:paraId="088198A4" w14:textId="77777777" w:rsidR="004728DA" w:rsidRDefault="004728DA" w:rsidP="004728DA">
      <w:pPr>
        <w:contextualSpacing/>
        <w:rPr>
          <w:color w:val="000000"/>
          <w:sz w:val="23"/>
          <w:szCs w:val="23"/>
          <w:lang w:eastAsia="en-GB"/>
        </w:rPr>
      </w:pPr>
      <w:r>
        <w:rPr>
          <w:color w:val="000000"/>
          <w:sz w:val="23"/>
          <w:szCs w:val="23"/>
          <w:lang w:eastAsia="en-GB"/>
        </w:rPr>
        <w:t>The data sharing arrangement cross-referenced NHS trust and council caseload data and identified children and families who were being supported by the trust, but not by the council’s early help services. These families would then be engaged in wider support to address their needs through the Troubled Families Programme. The data would also be used to understand whether families had in fact benefitted from the support they received and to inform future commissioning of services.</w:t>
      </w:r>
    </w:p>
    <w:p w14:paraId="6EC99109" w14:textId="77777777" w:rsidR="004728DA" w:rsidRDefault="004728DA" w:rsidP="004728DA">
      <w:pPr>
        <w:contextualSpacing/>
        <w:rPr>
          <w:color w:val="000000"/>
          <w:sz w:val="23"/>
          <w:szCs w:val="23"/>
          <w:lang w:eastAsia="en-GB"/>
        </w:rPr>
      </w:pPr>
    </w:p>
    <w:p w14:paraId="45CDEEB8" w14:textId="77777777" w:rsidR="004728DA" w:rsidRDefault="004728DA" w:rsidP="004728DA">
      <w:pPr>
        <w:spacing w:after="240"/>
        <w:rPr>
          <w:color w:val="000000"/>
          <w:sz w:val="23"/>
          <w:szCs w:val="23"/>
          <w:lang w:eastAsia="en-GB"/>
        </w:rPr>
      </w:pPr>
      <w:r>
        <w:rPr>
          <w:color w:val="000000"/>
          <w:sz w:val="23"/>
          <w:szCs w:val="23"/>
          <w:lang w:eastAsia="en-GB"/>
        </w:rPr>
        <w:t xml:space="preserve">Before sharing data, the two organisations worked together to put measures in place to ensure that the data would be protected and shared responsibly: </w:t>
      </w:r>
    </w:p>
    <w:p w14:paraId="084BEAC7" w14:textId="77777777" w:rsidR="004728DA" w:rsidRDefault="004728DA" w:rsidP="004728DA">
      <w:pPr>
        <w:spacing w:after="240"/>
        <w:rPr>
          <w:color w:val="000000"/>
          <w:sz w:val="23"/>
          <w:szCs w:val="23"/>
          <w:lang w:eastAsia="en-GB"/>
        </w:rPr>
      </w:pPr>
      <w:r>
        <w:rPr>
          <w:color w:val="000000"/>
          <w:sz w:val="23"/>
          <w:szCs w:val="23"/>
          <w:lang w:eastAsia="en-GB"/>
        </w:rPr>
        <w:t>A data protection impact assessment, led by the Head of Information Governance and data protection officer (DPO) at the NHS trust, which identified the potential risks to privacy and how those risks would be mitigated.</w:t>
      </w:r>
    </w:p>
    <w:p w14:paraId="637A9747" w14:textId="77777777" w:rsidR="004728DA" w:rsidRDefault="004728DA" w:rsidP="004728DA">
      <w:pPr>
        <w:spacing w:after="240"/>
        <w:rPr>
          <w:color w:val="000000"/>
          <w:sz w:val="23"/>
          <w:szCs w:val="23"/>
          <w:lang w:eastAsia="en-GB"/>
        </w:rPr>
      </w:pPr>
      <w:r>
        <w:rPr>
          <w:color w:val="000000"/>
          <w:sz w:val="23"/>
          <w:szCs w:val="23"/>
          <w:lang w:eastAsia="en-GB"/>
        </w:rPr>
        <w:t xml:space="preserve">An operational agreement setting out the arrangements for the exchange of data, under the overarching information sharing framework signed by the trust and the council. </w:t>
      </w:r>
    </w:p>
    <w:p w14:paraId="710A6777" w14:textId="77777777" w:rsidR="004728DA" w:rsidRDefault="004728DA" w:rsidP="004728DA">
      <w:pPr>
        <w:spacing w:after="240"/>
        <w:rPr>
          <w:color w:val="000000"/>
          <w:sz w:val="23"/>
          <w:szCs w:val="23"/>
          <w:lang w:eastAsia="en-GB"/>
        </w:rPr>
      </w:pPr>
      <w:r>
        <w:rPr>
          <w:color w:val="000000"/>
          <w:sz w:val="23"/>
          <w:szCs w:val="23"/>
          <w:lang w:eastAsia="en-GB"/>
        </w:rPr>
        <w:t xml:space="preserve">A methodology to make sure the minimum amount of data was shared. </w:t>
      </w:r>
    </w:p>
    <w:p w14:paraId="373036EB" w14:textId="77777777" w:rsidR="004728DA" w:rsidRDefault="004728DA" w:rsidP="004728DA">
      <w:pPr>
        <w:spacing w:after="240"/>
        <w:rPr>
          <w:color w:val="000000"/>
          <w:sz w:val="23"/>
          <w:szCs w:val="23"/>
          <w:lang w:eastAsia="en-GB"/>
        </w:rPr>
      </w:pPr>
      <w:r>
        <w:rPr>
          <w:color w:val="000000"/>
          <w:sz w:val="23"/>
          <w:szCs w:val="23"/>
          <w:lang w:eastAsia="en-GB"/>
        </w:rPr>
        <w:t>Privacy information.</w:t>
      </w:r>
    </w:p>
    <w:p w14:paraId="4FB7A46B" w14:textId="77777777" w:rsidR="004728DA" w:rsidRDefault="004728DA" w:rsidP="004728DA">
      <w:pPr>
        <w:spacing w:after="240"/>
        <w:rPr>
          <w:color w:val="000000"/>
          <w:sz w:val="23"/>
          <w:szCs w:val="23"/>
          <w:lang w:eastAsia="en-GB"/>
        </w:rPr>
      </w:pPr>
      <w:r>
        <w:rPr>
          <w:color w:val="000000"/>
          <w:sz w:val="23"/>
          <w:szCs w:val="23"/>
          <w:lang w:eastAsia="en-GB"/>
        </w:rPr>
        <w:t>Organisations involved: Children's public health, Health Visiting, and Child and Adolescent Mental Health Services (CAMHS); the council and local NHS trust.</w:t>
      </w:r>
    </w:p>
    <w:p w14:paraId="7C3ABA74" w14:textId="77777777" w:rsidR="004728DA" w:rsidRDefault="004728DA" w:rsidP="004728DA">
      <w:pPr>
        <w:rPr>
          <w:b/>
          <w:bCs/>
        </w:rPr>
      </w:pPr>
      <w:r>
        <w:rPr>
          <w:b/>
          <w:bCs/>
        </w:rPr>
        <w:t xml:space="preserve">2.  </w:t>
      </w:r>
      <w:r w:rsidRPr="003B44B8">
        <w:rPr>
          <w:b/>
          <w:bCs/>
        </w:rPr>
        <w:t>Excerpt</w:t>
      </w:r>
      <w:r>
        <w:rPr>
          <w:b/>
          <w:bCs/>
        </w:rPr>
        <w:t>s</w:t>
      </w:r>
      <w:r w:rsidRPr="003B44B8">
        <w:rPr>
          <w:b/>
          <w:bCs/>
        </w:rPr>
        <w:t xml:space="preserve"> from Digital Economy Act Code of Practice for Public Authorities</w:t>
      </w:r>
    </w:p>
    <w:p w14:paraId="740FEEA5" w14:textId="77777777" w:rsidR="004728DA" w:rsidRDefault="004728DA" w:rsidP="004728DA"/>
    <w:p w14:paraId="22432F8C" w14:textId="77777777" w:rsidR="004728DA" w:rsidRPr="003B44B8" w:rsidRDefault="00722218" w:rsidP="004728DA">
      <w:hyperlink r:id="rId17" w:anchor="public-service-delivery" w:history="1">
        <w:r w:rsidR="004728DA" w:rsidRPr="00BF6113">
          <w:rPr>
            <w:rStyle w:val="Hyperlink"/>
          </w:rPr>
          <w:t>https://www.gov.uk/government/publications/digital-economy-act-2017-part-5-codes-of-practice/code-of-practice-for-public-authorities-disclosing-information-under-chapters-1-3-and-4-public-service-delivery-debt-and-fraud-of-part-5-of-the-di#public-service-delivery</w:t>
        </w:r>
      </w:hyperlink>
      <w:r w:rsidR="004728DA">
        <w:t xml:space="preserve"> </w:t>
      </w:r>
    </w:p>
    <w:p w14:paraId="0683CE3A" w14:textId="77777777" w:rsidR="004728DA" w:rsidRDefault="004728DA" w:rsidP="004728DA"/>
    <w:p w14:paraId="098B3BAC" w14:textId="77777777" w:rsidR="004728DA" w:rsidRPr="003B44B8" w:rsidRDefault="004728DA" w:rsidP="004728DA">
      <w:pPr>
        <w:rPr>
          <w:b/>
          <w:bCs/>
        </w:rPr>
      </w:pPr>
      <w:r w:rsidRPr="003B44B8">
        <w:rPr>
          <w:b/>
          <w:bCs/>
        </w:rPr>
        <w:t>2.1 Understanding the purpose of the public service delivery power</w:t>
      </w:r>
    </w:p>
    <w:p w14:paraId="7EF31527" w14:textId="235E5661" w:rsidR="004728DA" w:rsidRDefault="004728DA" w:rsidP="004728DA">
      <w:r>
        <w:t>55. Public service delivery is changing, due to increasing acknowledgement that services are more efficient and effective when they are joined up. Joining up services requires the sharing of information. The Digital Economy Act 2017 creates a mechanism for establishing clear and robust legal gateways which will enable public authorities to share relevant information on the individuals and families they are working with in compliance with the data protection legislation. The primary purpose of this power is to support the well-being of individuals and households.</w:t>
      </w:r>
    </w:p>
    <w:p w14:paraId="0A7A0D9C" w14:textId="752498D5" w:rsidR="004728DA" w:rsidRDefault="004728DA" w:rsidP="004728DA">
      <w:r>
        <w:t>56. The public service delivery power gives you the ability to gain access to the data you need to respond more efficiently and effectively to current and emerging social and economic problems. The power allows ministers in the UK government and, for devolved matters, the devolved administrations to set objectives in regulations. All objectives must meet all of the following conditions which are set out in section 35 of the Digital Economy Act 2017:</w:t>
      </w:r>
    </w:p>
    <w:p w14:paraId="0768C416" w14:textId="77777777" w:rsidR="004728DA" w:rsidRDefault="004728DA" w:rsidP="004E6BD9">
      <w:pPr>
        <w:pStyle w:val="ListParagraph"/>
        <w:numPr>
          <w:ilvl w:val="0"/>
          <w:numId w:val="9"/>
        </w:numPr>
      </w:pPr>
      <w:r>
        <w:t>condition 1: the purpose is the improvement or targeting of a public service provided to individuals or households, or the facilitation of the provision of a benefit (whether or not financial) to individuals or households;</w:t>
      </w:r>
    </w:p>
    <w:p w14:paraId="59372C20" w14:textId="77777777" w:rsidR="004728DA" w:rsidRDefault="004728DA" w:rsidP="004E6BD9">
      <w:pPr>
        <w:pStyle w:val="ListParagraph"/>
        <w:numPr>
          <w:ilvl w:val="0"/>
          <w:numId w:val="9"/>
        </w:numPr>
      </w:pPr>
      <w:r>
        <w:t>condition 2: the purpose is the improvement of the well-being of individuals or households; and</w:t>
      </w:r>
    </w:p>
    <w:p w14:paraId="34A4A0F1" w14:textId="77777777" w:rsidR="004728DA" w:rsidRDefault="004728DA" w:rsidP="004E6BD9">
      <w:pPr>
        <w:pStyle w:val="ListParagraph"/>
        <w:numPr>
          <w:ilvl w:val="0"/>
          <w:numId w:val="9"/>
        </w:numPr>
      </w:pPr>
      <w:r>
        <w:t>condition 3: the purpose is the supporting of the delivery of a specified person’s functions, or the administration, monitoring or enforcement of a specified person’s functions.</w:t>
      </w:r>
    </w:p>
    <w:p w14:paraId="2ABF04CF" w14:textId="77777777" w:rsidR="004728DA" w:rsidRDefault="004728DA" w:rsidP="004728DA"/>
    <w:p w14:paraId="0D882982" w14:textId="18081C2B" w:rsidR="004728DA" w:rsidRDefault="004728DA" w:rsidP="004728DA">
      <w:r>
        <w:t>57. For an explanation of terms in the above conditions — for example, “benefit” and “well-being” — please refer to the Digital Economy Act 2017 and its Explanatory Notes.</w:t>
      </w:r>
    </w:p>
    <w:p w14:paraId="7B71DFB2" w14:textId="0A2D499C" w:rsidR="004728DA" w:rsidRDefault="004728DA" w:rsidP="004728DA">
      <w:r>
        <w:t>58. Here is a summary of the initial objectives for which information may be disclosed by specified persons under section 35 of the 2017 Act. For full details of the objectives, see the Schedule to the Digital Government (Disclosure of Information) Regulations 2018.</w:t>
      </w:r>
    </w:p>
    <w:p w14:paraId="5A9FA5AD" w14:textId="77777777" w:rsidR="004728DA" w:rsidRDefault="004728DA" w:rsidP="004E6BD9">
      <w:pPr>
        <w:pStyle w:val="ListParagraph"/>
        <w:numPr>
          <w:ilvl w:val="0"/>
          <w:numId w:val="10"/>
        </w:numPr>
      </w:pPr>
      <w:r>
        <w:t>Identifying individuals or households who face multiple disadvantages and enabling the improvement or targeting of public services to such individuals or households and providing for the monitoring and evaluation of programmes and initiatives;</w:t>
      </w:r>
    </w:p>
    <w:p w14:paraId="39A3BAFC" w14:textId="77777777" w:rsidR="004728DA" w:rsidRDefault="004728DA" w:rsidP="004E6BD9">
      <w:pPr>
        <w:pStyle w:val="ListParagraph"/>
        <w:numPr>
          <w:ilvl w:val="0"/>
          <w:numId w:val="10"/>
        </w:numPr>
      </w:pPr>
      <w:r>
        <w:t>Assisting people living in fuel poverty by reducing their energy costs, improving efficiency in their use of energy or improving their health or financial well-being;</w:t>
      </w:r>
    </w:p>
    <w:p w14:paraId="594926EB" w14:textId="77777777" w:rsidR="004728DA" w:rsidRDefault="004728DA" w:rsidP="004E6BD9">
      <w:pPr>
        <w:pStyle w:val="ListParagraph"/>
        <w:numPr>
          <w:ilvl w:val="0"/>
          <w:numId w:val="10"/>
        </w:numPr>
      </w:pPr>
      <w:r>
        <w:t>Reducing water or sewerage costs, improving efficiency in use of water or improving the health or financial well-being of people living in water poverty; and</w:t>
      </w:r>
    </w:p>
    <w:p w14:paraId="150F1AF6" w14:textId="670EFF25" w:rsidR="004728DA" w:rsidRDefault="004728DA" w:rsidP="004E6BD9">
      <w:pPr>
        <w:pStyle w:val="ListParagraph"/>
        <w:numPr>
          <w:ilvl w:val="0"/>
          <w:numId w:val="10"/>
        </w:numPr>
      </w:pPr>
      <w:r>
        <w:t>Identifying and making contact with vulnerable people who might need help from the authorities in re-tuning televisions in 2018 to 2019 after the 700Mhz band will be used for mobile broadband rather than to transmit digital TV.</w:t>
      </w:r>
    </w:p>
    <w:p w14:paraId="455F195D" w14:textId="77777777" w:rsidR="004728DA" w:rsidRDefault="004728DA" w:rsidP="004728DA">
      <w:pPr>
        <w:pStyle w:val="ListParagraph"/>
      </w:pPr>
    </w:p>
    <w:p w14:paraId="7F8A199E" w14:textId="77777777" w:rsidR="004728DA" w:rsidRDefault="004728DA" w:rsidP="004728DA">
      <w:r>
        <w:t>Additional objectives can be set by further regulations under section 35 of the Digital Economy Act 2017.</w:t>
      </w:r>
    </w:p>
    <w:p w14:paraId="7005C2D3" w14:textId="6C5CE657" w:rsidR="004728DA" w:rsidRDefault="004728DA" w:rsidP="004728DA"/>
    <w:p w14:paraId="42FD847A" w14:textId="77777777" w:rsidR="004728DA" w:rsidRDefault="004728DA" w:rsidP="004728DA"/>
    <w:p w14:paraId="280FFF61" w14:textId="77777777" w:rsidR="004728DA" w:rsidRPr="003B44B8" w:rsidRDefault="004728DA" w:rsidP="004728DA">
      <w:pPr>
        <w:rPr>
          <w:b/>
          <w:bCs/>
        </w:rPr>
      </w:pPr>
      <w:r w:rsidRPr="003B44B8">
        <w:rPr>
          <w:b/>
          <w:bCs/>
        </w:rPr>
        <w:t>2.3 Using the public service delivery power</w:t>
      </w:r>
    </w:p>
    <w:p w14:paraId="08C50748" w14:textId="77777777" w:rsidR="004728DA" w:rsidRDefault="004728DA" w:rsidP="004728DA">
      <w:r>
        <w:t>73. If your organisation has identified that the sharing of personal data is necessary to achieving a social or economic policy you should check whether the policy aims fall within one of the existing objectives set out in regulations. If it doesn’t you should consider whether your purpose for information sharing falls within the criteria in section 35 and should be added as a new objective via regulations (see section 2.3). You should identify which public authority holds the information you wish to access and check whether they are listed on Schedule 4. If the public authority is not listed, it is possible to add them to the Schedule via regulations (see section 2.3). If the public authority is listed you need to carefully consider whether your policy aims are consistent with the objectives described in regulations. Seek legal advice where appropriate. The public service delivery provisions and all chapters in Part 5 of the Digital Economy Act require that processing of information must be carried out in accordance with the data protection legislation.</w:t>
      </w:r>
    </w:p>
    <w:p w14:paraId="09B4FCDF" w14:textId="77777777" w:rsidR="004728DA" w:rsidRDefault="004728DA" w:rsidP="004728DA"/>
    <w:p w14:paraId="1606FD3D" w14:textId="6AE0ED25" w:rsidR="004728DA" w:rsidRDefault="004728DA" w:rsidP="004728DA">
      <w:pPr>
        <w:shd w:val="clear" w:color="auto" w:fill="E7E6E6" w:themeFill="background2"/>
      </w:pPr>
      <w:r>
        <w:t>An illustrative example of an appropriate use of the PSD power:</w:t>
      </w:r>
    </w:p>
    <w:p w14:paraId="68357405" w14:textId="51F6A697" w:rsidR="004728DA" w:rsidRDefault="004728DA" w:rsidP="004728DA">
      <w:pPr>
        <w:shd w:val="clear" w:color="auto" w:fill="E7E6E6" w:themeFill="background2"/>
      </w:pPr>
      <w:r>
        <w:t>A local authority wishes to access data held by the local police force and local school to identify whether there are individuals or households who meet the criteria for support under the troubled families programme.</w:t>
      </w:r>
    </w:p>
    <w:p w14:paraId="4DF4A7D1" w14:textId="7E61DC52" w:rsidR="004728DA" w:rsidRDefault="004728DA" w:rsidP="004728DA">
      <w:pPr>
        <w:shd w:val="clear" w:color="auto" w:fill="E7E6E6" w:themeFill="background2"/>
      </w:pPr>
      <w:r>
        <w:t>The local authority considers the multiple disadvantages objective and assesses that the objective is consistent with the purpose of the proposed information share. The bodies that the local authority wishes to share data with are also present on Schedule 4.</w:t>
      </w:r>
    </w:p>
    <w:p w14:paraId="3DD6D3C5" w14:textId="77777777" w:rsidR="004728DA" w:rsidRDefault="004728DA" w:rsidP="004728DA">
      <w:pPr>
        <w:shd w:val="clear" w:color="auto" w:fill="E7E6E6" w:themeFill="background2"/>
      </w:pPr>
      <w:r>
        <w:t>The local authority has a lawful basis to share data. As the powers are permissive, the local authority will still need to agree with the other bodies to share information for this purpose and draw up an appropriate data sharing agreement.</w:t>
      </w:r>
    </w:p>
    <w:p w14:paraId="7586F40C" w14:textId="77777777" w:rsidR="004728DA" w:rsidRDefault="004728DA" w:rsidP="004728DA"/>
    <w:p w14:paraId="554D5523" w14:textId="77777777" w:rsidR="004728DA" w:rsidRDefault="004728DA" w:rsidP="004728DA">
      <w:r>
        <w:t>74. The disclosure of data to achieve a public service delivery objective must only be used for the purpose for which it was disclosed, unless one of the exceptions in section 40(2) of the Digital Economy Act 2017 is engaged - for example, preventing serious physical harm to a person or loss of life. In such instances section 40 permits the specified person(s) to use that information to take action in accordance with the identified exception, using the minimum information required to fulfil that purpose. The exceptions in section 40(2) do not apply to information disclosed by Her Majesty’s Revenue and Customs (unless the Commissioners for Her Majesty’s Revenue and Customs have provided consent).</w:t>
      </w:r>
    </w:p>
    <w:p w14:paraId="12C80565" w14:textId="77777777" w:rsidR="004728DA" w:rsidRDefault="004728DA" w:rsidP="004728DA"/>
    <w:p w14:paraId="1E83B9D4" w14:textId="77777777" w:rsidR="004728DA" w:rsidRDefault="004728DA" w:rsidP="004728DA"/>
    <w:p w14:paraId="3E7CAE17" w14:textId="77777777" w:rsidR="004728DA" w:rsidRDefault="004728DA" w:rsidP="004728DA"/>
    <w:p w14:paraId="502F8B69" w14:textId="77777777" w:rsidR="004728DA" w:rsidRDefault="004728DA" w:rsidP="004728DA"/>
    <w:p w14:paraId="4B0419EE" w14:textId="77777777" w:rsidR="004728DA" w:rsidRDefault="004728DA" w:rsidP="004728DA"/>
    <w:p w14:paraId="776390AE" w14:textId="77777777" w:rsidR="004728DA" w:rsidRDefault="004728DA" w:rsidP="004728DA"/>
    <w:p w14:paraId="41B25F84" w14:textId="77777777" w:rsidR="004728DA" w:rsidRDefault="004728DA" w:rsidP="004728DA"/>
    <w:p w14:paraId="730731FA" w14:textId="60E9F348" w:rsidR="004728DA" w:rsidRDefault="004728DA" w:rsidP="004728DA"/>
    <w:p w14:paraId="0A26EA1A" w14:textId="11EF8BDD" w:rsidR="004728DA" w:rsidRDefault="004728DA" w:rsidP="004728DA"/>
    <w:p w14:paraId="2DD55B67" w14:textId="77777777" w:rsidR="004728DA" w:rsidRDefault="004728DA" w:rsidP="004728DA"/>
    <w:p w14:paraId="2B1CD4BD" w14:textId="77777777" w:rsidR="004728DA" w:rsidRDefault="004728DA" w:rsidP="004728DA">
      <w:pPr>
        <w:pStyle w:val="Heading1"/>
      </w:pPr>
      <w:bookmarkStart w:id="1" w:name="_ANNEX_II"/>
      <w:bookmarkEnd w:id="1"/>
      <w:r>
        <w:t>ANNEX II</w:t>
      </w:r>
    </w:p>
    <w:p w14:paraId="5FFD9BA0" w14:textId="77777777" w:rsidR="004728DA" w:rsidRDefault="004728DA" w:rsidP="004728DA"/>
    <w:p w14:paraId="1F48261D" w14:textId="77777777" w:rsidR="004728DA" w:rsidRPr="009422A9" w:rsidRDefault="004728DA" w:rsidP="004728DA">
      <w:pPr>
        <w:rPr>
          <w:b/>
        </w:rPr>
      </w:pPr>
      <w:r w:rsidRPr="009422A9">
        <w:rPr>
          <w:b/>
          <w:color w:val="FF0000"/>
          <w:u w:val="single"/>
        </w:rPr>
        <w:t xml:space="preserve">DRAFT </w:t>
      </w:r>
      <w:r w:rsidRPr="009422A9">
        <w:rPr>
          <w:b/>
        </w:rPr>
        <w:t xml:space="preserve">Recommendations / Solutions Arising from IS Remote / Rural / Island Child Poverty Data and Intelligence Workshops. </w:t>
      </w:r>
    </w:p>
    <w:p w14:paraId="2DEAE9F9" w14:textId="77777777" w:rsidR="004728DA" w:rsidRDefault="004728DA" w:rsidP="004728DA"/>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0"/>
      </w:tblGrid>
      <w:tr w:rsidR="004728DA" w:rsidRPr="00475136" w14:paraId="3E010AF1" w14:textId="77777777" w:rsidTr="00E67301">
        <w:tc>
          <w:tcPr>
            <w:tcW w:w="9490" w:type="dxa"/>
            <w:tcBorders>
              <w:top w:val="single" w:sz="6" w:space="0" w:color="auto"/>
              <w:left w:val="single" w:sz="6" w:space="0" w:color="auto"/>
              <w:bottom w:val="single" w:sz="6" w:space="0" w:color="auto"/>
              <w:right w:val="single" w:sz="6" w:space="0" w:color="auto"/>
            </w:tcBorders>
            <w:shd w:val="clear" w:color="auto" w:fill="auto"/>
            <w:hideMark/>
          </w:tcPr>
          <w:p w14:paraId="281EBB38" w14:textId="77777777" w:rsidR="004728DA" w:rsidRPr="00475136" w:rsidRDefault="004728DA" w:rsidP="00E67301">
            <w:pPr>
              <w:textAlignment w:val="baseline"/>
              <w:rPr>
                <w:rFonts w:eastAsia="Times New Roman" w:cstheme="minorHAnsi"/>
                <w:lang w:eastAsia="en-GB"/>
              </w:rPr>
            </w:pPr>
            <w:r w:rsidRPr="00475136">
              <w:rPr>
                <w:rFonts w:eastAsia="Times New Roman" w:cstheme="minorHAnsi"/>
                <w:b/>
                <w:bCs/>
                <w:lang w:eastAsia="en-GB"/>
              </w:rPr>
              <w:t>Overcoming barriers to data sharing</w:t>
            </w:r>
            <w:r w:rsidRPr="00475136">
              <w:rPr>
                <w:rFonts w:eastAsia="Times New Roman" w:cstheme="minorHAnsi"/>
                <w:lang w:eastAsia="en-GB"/>
              </w:rPr>
              <w:t> </w:t>
            </w:r>
            <w:r w:rsidRPr="00475136">
              <w:rPr>
                <w:rFonts w:eastAsia="Times New Roman" w:cstheme="minorHAnsi"/>
                <w:lang w:eastAsia="en-GB"/>
              </w:rPr>
              <w:br/>
              <w:t> </w:t>
            </w:r>
          </w:p>
        </w:tc>
      </w:tr>
      <w:tr w:rsidR="004728DA" w:rsidRPr="00475136" w14:paraId="08B7A371" w14:textId="77777777" w:rsidTr="00E67301">
        <w:trPr>
          <w:trHeight w:val="3210"/>
        </w:trPr>
        <w:tc>
          <w:tcPr>
            <w:tcW w:w="9490" w:type="dxa"/>
            <w:tcBorders>
              <w:top w:val="single" w:sz="6" w:space="0" w:color="auto"/>
              <w:left w:val="single" w:sz="6" w:space="0" w:color="auto"/>
              <w:bottom w:val="single" w:sz="6" w:space="0" w:color="auto"/>
              <w:right w:val="single" w:sz="6" w:space="0" w:color="auto"/>
            </w:tcBorders>
            <w:shd w:val="clear" w:color="auto" w:fill="auto"/>
            <w:hideMark/>
          </w:tcPr>
          <w:p w14:paraId="490D90D9" w14:textId="7804CAB1" w:rsidR="004728DA" w:rsidRPr="00475136" w:rsidRDefault="004728DA" w:rsidP="004E6BD9">
            <w:pPr>
              <w:numPr>
                <w:ilvl w:val="0"/>
                <w:numId w:val="12"/>
              </w:numPr>
              <w:spacing w:after="0" w:line="240" w:lineRule="auto"/>
              <w:ind w:left="360" w:firstLine="0"/>
              <w:textAlignment w:val="baseline"/>
              <w:rPr>
                <w:rFonts w:eastAsia="Times New Roman" w:cstheme="minorHAnsi"/>
                <w:lang w:eastAsia="en-GB"/>
              </w:rPr>
            </w:pPr>
            <w:r w:rsidRPr="00475136">
              <w:rPr>
                <w:rFonts w:eastAsia="Times New Roman" w:cstheme="minorHAnsi"/>
                <w:lang w:eastAsia="en-GB"/>
              </w:rPr>
              <w:t xml:space="preserve">Establish a multidisciplinary working group on Tackling Child Poverty through Innovation in Data and Intelligence, chaired by IS/COSLA/academic partners to include, for example, relevant local authorities and health boards, relevant academics (Scottish Policy and Research Exchange, SPIRU, </w:t>
            </w:r>
            <w:proofErr w:type="spellStart"/>
            <w:r w:rsidRPr="00475136">
              <w:rPr>
                <w:rFonts w:eastAsia="Times New Roman" w:cstheme="minorHAnsi"/>
                <w:lang w:eastAsia="en-GB"/>
              </w:rPr>
              <w:t>Codeclan</w:t>
            </w:r>
            <w:proofErr w:type="spellEnd"/>
            <w:r w:rsidRPr="00475136">
              <w:rPr>
                <w:rFonts w:eastAsia="Times New Roman" w:cstheme="minorHAnsi"/>
                <w:lang w:eastAsia="en-GB"/>
              </w:rPr>
              <w:t>, Data Lab, Research Data Scotland), representatives of the Information Commissioner and those with insight/expertise as to private sector use of data sharing legislation. Local government representatives should include those in leadership roles (SOLACE etc.) those with data and analytical expertise, GIS professionals and child poverty policy and delivery leads. </w:t>
            </w:r>
            <w:r w:rsidRPr="00475136">
              <w:rPr>
                <w:rFonts w:eastAsia="Times New Roman" w:cstheme="minorHAnsi"/>
                <w:lang w:eastAsia="en-GB"/>
              </w:rPr>
              <w:br/>
              <w:t>The remit of the group would include: </w:t>
            </w:r>
            <w:r w:rsidRPr="00475136">
              <w:rPr>
                <w:rFonts w:eastAsia="Times New Roman" w:cstheme="minorHAnsi"/>
                <w:lang w:eastAsia="en-GB"/>
              </w:rPr>
              <w:br/>
              <w:t>- Investigating the availability, suitability and quality of additional data sources, including private sector data sources, for the purposes of identifying and addressing child poverty. </w:t>
            </w:r>
          </w:p>
          <w:p w14:paraId="0601A8DC" w14:textId="32B58039" w:rsidR="004728DA" w:rsidRPr="00475136" w:rsidRDefault="004728DA" w:rsidP="004728DA">
            <w:pPr>
              <w:ind w:left="360"/>
              <w:textAlignment w:val="baseline"/>
              <w:rPr>
                <w:rFonts w:eastAsia="Times New Roman" w:cstheme="minorHAnsi"/>
                <w:lang w:eastAsia="en-GB"/>
              </w:rPr>
            </w:pPr>
            <w:r w:rsidRPr="00475136">
              <w:rPr>
                <w:rFonts w:eastAsia="Times New Roman" w:cstheme="minorHAnsi"/>
                <w:lang w:eastAsia="en-GB"/>
              </w:rPr>
              <w:t>-  Providing information and advice to the Scottish Government and local authorities on the financial, legal, practical and moral implications of accessing these data sources  </w:t>
            </w:r>
          </w:p>
        </w:tc>
      </w:tr>
      <w:tr w:rsidR="004728DA" w:rsidRPr="00475136" w14:paraId="64069B3F" w14:textId="77777777" w:rsidTr="00E67301">
        <w:tc>
          <w:tcPr>
            <w:tcW w:w="9490" w:type="dxa"/>
            <w:tcBorders>
              <w:top w:val="single" w:sz="6" w:space="0" w:color="auto"/>
              <w:left w:val="single" w:sz="6" w:space="0" w:color="auto"/>
              <w:bottom w:val="single" w:sz="6" w:space="0" w:color="auto"/>
              <w:right w:val="single" w:sz="6" w:space="0" w:color="auto"/>
            </w:tcBorders>
            <w:shd w:val="clear" w:color="auto" w:fill="auto"/>
            <w:hideMark/>
          </w:tcPr>
          <w:p w14:paraId="0805DD47" w14:textId="77777777" w:rsidR="004728DA" w:rsidRPr="00475136" w:rsidRDefault="004728DA" w:rsidP="00E67301">
            <w:pPr>
              <w:textAlignment w:val="baseline"/>
              <w:rPr>
                <w:rFonts w:eastAsia="Times New Roman" w:cstheme="minorHAnsi"/>
                <w:lang w:eastAsia="en-GB"/>
              </w:rPr>
            </w:pPr>
            <w:r w:rsidRPr="00475136">
              <w:rPr>
                <w:rFonts w:eastAsia="Times New Roman" w:cstheme="minorHAnsi"/>
                <w:lang w:eastAsia="en-GB"/>
              </w:rPr>
              <w:t> </w:t>
            </w:r>
            <w:r w:rsidRPr="00475136">
              <w:rPr>
                <w:rFonts w:eastAsia="Times New Roman" w:cstheme="minorHAnsi"/>
                <w:lang w:eastAsia="en-GB"/>
              </w:rPr>
              <w:br/>
            </w:r>
            <w:r w:rsidRPr="00475136">
              <w:rPr>
                <w:rFonts w:eastAsia="Times New Roman" w:cstheme="minorHAnsi"/>
                <w:b/>
                <w:bCs/>
                <w:lang w:eastAsia="en-GB"/>
              </w:rPr>
              <w:t>Drawing links with ongoing work around innovation in data sharing</w:t>
            </w:r>
            <w:r w:rsidRPr="00475136">
              <w:rPr>
                <w:rFonts w:eastAsia="Times New Roman" w:cstheme="minorHAnsi"/>
                <w:lang w:eastAsia="en-GB"/>
              </w:rPr>
              <w:t> </w:t>
            </w:r>
            <w:r w:rsidRPr="00475136">
              <w:rPr>
                <w:rFonts w:eastAsia="Times New Roman" w:cstheme="minorHAnsi"/>
                <w:lang w:eastAsia="en-GB"/>
              </w:rPr>
              <w:br/>
              <w:t> </w:t>
            </w:r>
          </w:p>
        </w:tc>
      </w:tr>
      <w:tr w:rsidR="004728DA" w:rsidRPr="00475136" w14:paraId="53689D60" w14:textId="77777777" w:rsidTr="00E67301">
        <w:tc>
          <w:tcPr>
            <w:tcW w:w="9490" w:type="dxa"/>
            <w:tcBorders>
              <w:top w:val="single" w:sz="6" w:space="0" w:color="auto"/>
              <w:left w:val="single" w:sz="6" w:space="0" w:color="auto"/>
              <w:bottom w:val="single" w:sz="6" w:space="0" w:color="auto"/>
              <w:right w:val="single" w:sz="6" w:space="0" w:color="auto"/>
            </w:tcBorders>
            <w:shd w:val="clear" w:color="auto" w:fill="auto"/>
            <w:hideMark/>
          </w:tcPr>
          <w:p w14:paraId="6C7EB167" w14:textId="77777777" w:rsidR="004728DA" w:rsidRPr="00475136" w:rsidRDefault="004728DA" w:rsidP="004E6BD9">
            <w:pPr>
              <w:numPr>
                <w:ilvl w:val="0"/>
                <w:numId w:val="13"/>
              </w:numPr>
              <w:spacing w:after="0" w:line="240" w:lineRule="auto"/>
              <w:ind w:left="360" w:firstLine="0"/>
              <w:textAlignment w:val="baseline"/>
              <w:rPr>
                <w:rFonts w:eastAsia="Times New Roman" w:cstheme="minorHAnsi"/>
                <w:lang w:eastAsia="en-GB"/>
              </w:rPr>
            </w:pPr>
            <w:r w:rsidRPr="00475136">
              <w:rPr>
                <w:rFonts w:eastAsia="Times New Roman" w:cstheme="minorHAnsi"/>
                <w:lang w:eastAsia="en-GB"/>
              </w:rPr>
              <w:t>Identify one local authority and/or health board area to work in partnership with the Improvement Service in order to engage more closely with SAVVI (Scalable Approach to Vulnerability via Interoperability) and the Digital Transformation Framework to explore options for joint work and feed back to the wider group. </w:t>
            </w:r>
            <w:r w:rsidRPr="00475136">
              <w:rPr>
                <w:rFonts w:eastAsia="Times New Roman" w:cstheme="minorHAnsi"/>
                <w:lang w:eastAsia="en-GB"/>
              </w:rPr>
              <w:br/>
              <w:t> </w:t>
            </w:r>
          </w:p>
        </w:tc>
      </w:tr>
      <w:tr w:rsidR="004728DA" w:rsidRPr="00475136" w14:paraId="5B464C0C" w14:textId="77777777" w:rsidTr="00E67301">
        <w:tc>
          <w:tcPr>
            <w:tcW w:w="9490" w:type="dxa"/>
            <w:tcBorders>
              <w:top w:val="single" w:sz="6" w:space="0" w:color="auto"/>
              <w:left w:val="single" w:sz="6" w:space="0" w:color="auto"/>
              <w:bottom w:val="single" w:sz="6" w:space="0" w:color="auto"/>
              <w:right w:val="single" w:sz="6" w:space="0" w:color="auto"/>
            </w:tcBorders>
            <w:shd w:val="clear" w:color="auto" w:fill="auto"/>
            <w:hideMark/>
          </w:tcPr>
          <w:p w14:paraId="6F6A4782" w14:textId="77777777" w:rsidR="004728DA" w:rsidRPr="00475136" w:rsidRDefault="004728DA" w:rsidP="004E6BD9">
            <w:pPr>
              <w:numPr>
                <w:ilvl w:val="0"/>
                <w:numId w:val="14"/>
              </w:numPr>
              <w:spacing w:after="0" w:line="240" w:lineRule="auto"/>
              <w:ind w:left="360" w:firstLine="0"/>
              <w:textAlignment w:val="baseline"/>
              <w:rPr>
                <w:rFonts w:eastAsia="Times New Roman" w:cstheme="minorHAnsi"/>
                <w:lang w:eastAsia="en-GB"/>
              </w:rPr>
            </w:pPr>
            <w:r w:rsidRPr="00475136">
              <w:rPr>
                <w:rFonts w:eastAsia="Times New Roman" w:cstheme="minorHAnsi"/>
                <w:lang w:eastAsia="en-GB"/>
              </w:rPr>
              <w:t>Engage with Scottish Policy and Research Exchange (Dave Bell) to bring an academic perspective to identify ‘trigger point’ data and potentially develop algorithms to allow families at risk of child poverty and/or financial crisis to be identified and early interventions made to support the families. The example provided during discussion was the existence of school meal debt.  </w:t>
            </w:r>
            <w:r w:rsidRPr="00475136">
              <w:rPr>
                <w:rFonts w:eastAsia="Times New Roman" w:cstheme="minorHAnsi"/>
                <w:lang w:eastAsia="en-GB"/>
              </w:rPr>
              <w:br/>
              <w:t> </w:t>
            </w:r>
          </w:p>
        </w:tc>
      </w:tr>
      <w:tr w:rsidR="004728DA" w:rsidRPr="00475136" w14:paraId="62B9D4C8" w14:textId="77777777" w:rsidTr="00E67301">
        <w:tc>
          <w:tcPr>
            <w:tcW w:w="9490" w:type="dxa"/>
            <w:tcBorders>
              <w:top w:val="single" w:sz="6" w:space="0" w:color="auto"/>
              <w:left w:val="single" w:sz="6" w:space="0" w:color="auto"/>
              <w:bottom w:val="single" w:sz="6" w:space="0" w:color="auto"/>
              <w:right w:val="single" w:sz="6" w:space="0" w:color="auto"/>
            </w:tcBorders>
            <w:shd w:val="clear" w:color="auto" w:fill="auto"/>
            <w:hideMark/>
          </w:tcPr>
          <w:p w14:paraId="32E05216" w14:textId="77777777" w:rsidR="004728DA" w:rsidRPr="00475136" w:rsidRDefault="004728DA" w:rsidP="004E6BD9">
            <w:pPr>
              <w:numPr>
                <w:ilvl w:val="0"/>
                <w:numId w:val="15"/>
              </w:numPr>
              <w:spacing w:after="0" w:line="240" w:lineRule="auto"/>
              <w:ind w:left="360" w:firstLine="0"/>
              <w:textAlignment w:val="baseline"/>
              <w:rPr>
                <w:rFonts w:eastAsia="Times New Roman" w:cstheme="minorHAnsi"/>
                <w:lang w:eastAsia="en-GB"/>
              </w:rPr>
            </w:pPr>
            <w:r w:rsidRPr="00475136">
              <w:rPr>
                <w:rFonts w:eastAsia="Times New Roman" w:cstheme="minorHAnsi"/>
                <w:lang w:eastAsia="en-GB"/>
              </w:rPr>
              <w:t xml:space="preserve">To inform this work, links should be drawn with work being done by the </w:t>
            </w:r>
            <w:r>
              <w:rPr>
                <w:rFonts w:eastAsia="Times New Roman" w:cstheme="minorHAnsi"/>
                <w:lang w:eastAsia="en-GB"/>
              </w:rPr>
              <w:t xml:space="preserve">Local Government </w:t>
            </w:r>
            <w:r w:rsidRPr="00475136">
              <w:rPr>
                <w:rFonts w:eastAsia="Times New Roman" w:cstheme="minorHAnsi"/>
                <w:lang w:eastAsia="en-GB"/>
              </w:rPr>
              <w:t xml:space="preserve">Digital Office and Scotland Excel in partnership with South Lanarkshire Council – known as the STAMP Project - to understand all the data systems and data sets being used by all local authorities in Scotland.  The </w:t>
            </w:r>
            <w:proofErr w:type="spellStart"/>
            <w:r w:rsidRPr="00475136">
              <w:rPr>
                <w:rFonts w:eastAsia="Times New Roman" w:cstheme="minorHAnsi"/>
                <w:lang w:eastAsia="en-GB"/>
              </w:rPr>
              <w:t>relevanceof</w:t>
            </w:r>
            <w:proofErr w:type="spellEnd"/>
            <w:r w:rsidRPr="00475136">
              <w:rPr>
                <w:rFonts w:eastAsia="Times New Roman" w:cstheme="minorHAnsi"/>
                <w:lang w:eastAsia="en-GB"/>
              </w:rPr>
              <w:t xml:space="preserve"> this work to tackling child poverty should be made clear and opportunities for this group to contribute to support the work identified.  </w:t>
            </w:r>
            <w:r w:rsidRPr="00475136">
              <w:rPr>
                <w:rFonts w:eastAsia="Times New Roman" w:cstheme="minorHAnsi"/>
                <w:lang w:eastAsia="en-GB"/>
              </w:rPr>
              <w:br/>
              <w:t> </w:t>
            </w:r>
          </w:p>
        </w:tc>
      </w:tr>
      <w:tr w:rsidR="004728DA" w:rsidRPr="00475136" w14:paraId="3781C995" w14:textId="77777777" w:rsidTr="00E67301">
        <w:tc>
          <w:tcPr>
            <w:tcW w:w="9490" w:type="dxa"/>
            <w:tcBorders>
              <w:top w:val="single" w:sz="6" w:space="0" w:color="auto"/>
              <w:left w:val="single" w:sz="6" w:space="0" w:color="auto"/>
              <w:bottom w:val="single" w:sz="6" w:space="0" w:color="auto"/>
              <w:right w:val="single" w:sz="6" w:space="0" w:color="auto"/>
            </w:tcBorders>
            <w:shd w:val="clear" w:color="auto" w:fill="auto"/>
            <w:hideMark/>
          </w:tcPr>
          <w:p w14:paraId="0E24DEBE" w14:textId="77777777" w:rsidR="004728DA" w:rsidRPr="00475136" w:rsidRDefault="004728DA" w:rsidP="004E6BD9">
            <w:pPr>
              <w:numPr>
                <w:ilvl w:val="0"/>
                <w:numId w:val="16"/>
              </w:numPr>
              <w:spacing w:after="0" w:line="240" w:lineRule="auto"/>
              <w:ind w:left="360" w:firstLine="0"/>
              <w:textAlignment w:val="baseline"/>
              <w:rPr>
                <w:rFonts w:eastAsia="Times New Roman" w:cstheme="minorHAnsi"/>
                <w:lang w:eastAsia="en-GB"/>
              </w:rPr>
            </w:pPr>
            <w:r w:rsidRPr="00475136">
              <w:rPr>
                <w:rFonts w:eastAsia="Times New Roman" w:cstheme="minorHAnsi"/>
                <w:lang w:eastAsia="en-GB"/>
              </w:rPr>
              <w:t>IS and national Child Poverty Peer Support Network should work with the Information Commissioner and SAVVI to compile examples of where data has been shared in an innovative way locally (or between national and local organisations) to contribute to a reduction in child poverty. Examples mentioned to date include Glasgow (data sharing with DWP to map child poverty), Angus (using electoral role data to maximise uptake of CTR single occupant discount) and Shetland (using GIRFEC as a justification for sharing household data to target support effectively through the Anchor Project). </w:t>
            </w:r>
            <w:r w:rsidRPr="00475136">
              <w:rPr>
                <w:rFonts w:eastAsia="Times New Roman" w:cstheme="minorHAnsi"/>
                <w:lang w:eastAsia="en-GB"/>
              </w:rPr>
              <w:br/>
              <w:t> </w:t>
            </w:r>
          </w:p>
        </w:tc>
      </w:tr>
      <w:tr w:rsidR="004728DA" w:rsidRPr="00475136" w14:paraId="0DF01A63" w14:textId="77777777" w:rsidTr="00E67301">
        <w:tc>
          <w:tcPr>
            <w:tcW w:w="9490" w:type="dxa"/>
            <w:tcBorders>
              <w:top w:val="single" w:sz="6" w:space="0" w:color="auto"/>
              <w:left w:val="single" w:sz="6" w:space="0" w:color="auto"/>
              <w:bottom w:val="single" w:sz="6" w:space="0" w:color="auto"/>
              <w:right w:val="single" w:sz="6" w:space="0" w:color="auto"/>
            </w:tcBorders>
            <w:shd w:val="clear" w:color="auto" w:fill="auto"/>
            <w:hideMark/>
          </w:tcPr>
          <w:p w14:paraId="091F3991" w14:textId="77777777" w:rsidR="004728DA" w:rsidRPr="00475136" w:rsidRDefault="004728DA" w:rsidP="004E6BD9">
            <w:pPr>
              <w:numPr>
                <w:ilvl w:val="0"/>
                <w:numId w:val="17"/>
              </w:numPr>
              <w:spacing w:after="0" w:line="240" w:lineRule="auto"/>
              <w:ind w:left="360" w:firstLine="0"/>
              <w:textAlignment w:val="baseline"/>
              <w:rPr>
                <w:rFonts w:eastAsia="Times New Roman" w:cstheme="minorHAnsi"/>
                <w:lang w:eastAsia="en-GB"/>
              </w:rPr>
            </w:pPr>
            <w:r w:rsidRPr="00475136">
              <w:rPr>
                <w:rFonts w:eastAsia="Times New Roman" w:cstheme="minorHAnsi"/>
                <w:lang w:eastAsia="en-GB"/>
              </w:rPr>
              <w:t>Work with the Scottish Government, Scottish Office of Information Commissioner (ICO), SAVVI and Scottish local authorities to develop a training resource or toolkit on information sharing to prevent and alleviate child poverty, removing confusion around the legislation and showing what can be shared and how. This should draw on existing good practice examples.  </w:t>
            </w:r>
            <w:r w:rsidRPr="00475136">
              <w:rPr>
                <w:rFonts w:eastAsia="Times New Roman" w:cstheme="minorHAnsi"/>
                <w:lang w:eastAsia="en-GB"/>
              </w:rPr>
              <w:br/>
              <w:t> </w:t>
            </w:r>
          </w:p>
        </w:tc>
      </w:tr>
      <w:tr w:rsidR="004728DA" w:rsidRPr="00475136" w14:paraId="283E8C4A" w14:textId="77777777" w:rsidTr="00E67301">
        <w:tc>
          <w:tcPr>
            <w:tcW w:w="9490" w:type="dxa"/>
            <w:tcBorders>
              <w:top w:val="single" w:sz="6" w:space="0" w:color="auto"/>
              <w:left w:val="single" w:sz="6" w:space="0" w:color="auto"/>
              <w:bottom w:val="single" w:sz="6" w:space="0" w:color="auto"/>
              <w:right w:val="single" w:sz="6" w:space="0" w:color="auto"/>
            </w:tcBorders>
            <w:shd w:val="clear" w:color="auto" w:fill="auto"/>
            <w:hideMark/>
          </w:tcPr>
          <w:p w14:paraId="4F310FF8" w14:textId="77777777" w:rsidR="004728DA" w:rsidRPr="00475136" w:rsidRDefault="004728DA" w:rsidP="004E6BD9">
            <w:pPr>
              <w:numPr>
                <w:ilvl w:val="0"/>
                <w:numId w:val="18"/>
              </w:numPr>
              <w:spacing w:after="0" w:line="240" w:lineRule="auto"/>
              <w:ind w:left="360" w:firstLine="0"/>
              <w:textAlignment w:val="baseline"/>
              <w:rPr>
                <w:rFonts w:eastAsia="Times New Roman" w:cstheme="minorHAnsi"/>
                <w:lang w:eastAsia="en-GB"/>
              </w:rPr>
            </w:pPr>
            <w:r w:rsidRPr="00475136">
              <w:rPr>
                <w:rFonts w:eastAsia="Times New Roman" w:cstheme="minorHAnsi"/>
                <w:lang w:eastAsia="en-GB"/>
              </w:rPr>
              <w:t>The Scottish Government should explore the possibility of a Pathfinder with one remote or rural area interrogating how data and intelligence could be used to tackle child poverty more effectively.  This might include the provision of additional resource to ensure the relevant local authority / community planning partnership has sufficient capacity to engage with the working group on data and innovation and seek to put identified approaches into practice.   </w:t>
            </w:r>
            <w:r w:rsidRPr="00475136">
              <w:rPr>
                <w:rFonts w:eastAsia="Times New Roman" w:cstheme="minorHAnsi"/>
                <w:lang w:eastAsia="en-GB"/>
              </w:rPr>
              <w:br/>
              <w:t> </w:t>
            </w:r>
          </w:p>
        </w:tc>
      </w:tr>
      <w:tr w:rsidR="004728DA" w:rsidRPr="00475136" w14:paraId="3863445E" w14:textId="77777777" w:rsidTr="00E67301">
        <w:tc>
          <w:tcPr>
            <w:tcW w:w="9490" w:type="dxa"/>
            <w:tcBorders>
              <w:top w:val="single" w:sz="6" w:space="0" w:color="auto"/>
              <w:left w:val="single" w:sz="6" w:space="0" w:color="auto"/>
              <w:bottom w:val="single" w:sz="6" w:space="0" w:color="auto"/>
              <w:right w:val="single" w:sz="6" w:space="0" w:color="auto"/>
            </w:tcBorders>
            <w:shd w:val="clear" w:color="auto" w:fill="auto"/>
            <w:hideMark/>
          </w:tcPr>
          <w:p w14:paraId="0298BBA4" w14:textId="77777777" w:rsidR="004728DA" w:rsidRPr="00475136" w:rsidRDefault="004728DA" w:rsidP="004E6BD9">
            <w:pPr>
              <w:numPr>
                <w:ilvl w:val="0"/>
                <w:numId w:val="19"/>
              </w:numPr>
              <w:spacing w:after="0" w:line="240" w:lineRule="auto"/>
              <w:ind w:left="360" w:firstLine="0"/>
              <w:textAlignment w:val="baseline"/>
              <w:rPr>
                <w:rFonts w:eastAsia="Times New Roman" w:cstheme="minorHAnsi"/>
                <w:lang w:eastAsia="en-GB"/>
              </w:rPr>
            </w:pPr>
            <w:r w:rsidRPr="00475136">
              <w:rPr>
                <w:rFonts w:eastAsia="Times New Roman" w:cstheme="minorHAnsi"/>
                <w:lang w:eastAsia="en-GB"/>
              </w:rPr>
              <w:t>The Scottish Government should consider how data sharing could be reflected in a refresh of the Guidance on Local Child Poverty Action Reports.  </w:t>
            </w:r>
            <w:r w:rsidRPr="00475136">
              <w:rPr>
                <w:rFonts w:eastAsia="Times New Roman" w:cstheme="minorHAnsi"/>
                <w:lang w:eastAsia="en-GB"/>
              </w:rPr>
              <w:br/>
              <w:t> </w:t>
            </w:r>
          </w:p>
        </w:tc>
      </w:tr>
      <w:tr w:rsidR="004728DA" w:rsidRPr="00475136" w14:paraId="3B9D6BFC" w14:textId="77777777" w:rsidTr="00E67301">
        <w:tc>
          <w:tcPr>
            <w:tcW w:w="9490" w:type="dxa"/>
            <w:tcBorders>
              <w:top w:val="single" w:sz="6" w:space="0" w:color="auto"/>
              <w:left w:val="single" w:sz="6" w:space="0" w:color="auto"/>
              <w:bottom w:val="single" w:sz="6" w:space="0" w:color="auto"/>
              <w:right w:val="single" w:sz="6" w:space="0" w:color="auto"/>
            </w:tcBorders>
            <w:shd w:val="clear" w:color="auto" w:fill="auto"/>
            <w:hideMark/>
          </w:tcPr>
          <w:p w14:paraId="5342900F" w14:textId="77777777" w:rsidR="004728DA" w:rsidRPr="00475136" w:rsidRDefault="004728DA" w:rsidP="004E6BD9">
            <w:pPr>
              <w:numPr>
                <w:ilvl w:val="0"/>
                <w:numId w:val="20"/>
              </w:numPr>
              <w:spacing w:after="0" w:line="240" w:lineRule="auto"/>
              <w:ind w:left="360" w:firstLine="0"/>
              <w:textAlignment w:val="baseline"/>
              <w:rPr>
                <w:rFonts w:eastAsia="Times New Roman" w:cstheme="minorHAnsi"/>
                <w:lang w:eastAsia="en-GB"/>
              </w:rPr>
            </w:pPr>
            <w:r w:rsidRPr="00475136">
              <w:rPr>
                <w:rFonts w:eastAsia="Times New Roman" w:cstheme="minorHAnsi"/>
                <w:lang w:eastAsia="en-GB"/>
              </w:rPr>
              <w:t>The short life Rural Child Poverty Network which will run throughout late 2022 and into 2023 should engage with Public Health Scotland to build on the Prioritise Child Poverty: A Data and Systems Approach, which could be improved to be more user friendly and intuitive and support local areas. This could include narrowing down sources to those considered most relevant and arranging data sources more clearly by their geography (e.g. grouping household level, postcode, locality, data-zone information together) and links to relevant policy areas. </w:t>
            </w:r>
            <w:r w:rsidRPr="00475136">
              <w:rPr>
                <w:rFonts w:eastAsia="Times New Roman" w:cstheme="minorHAnsi"/>
                <w:lang w:eastAsia="en-GB"/>
              </w:rPr>
              <w:br/>
              <w:t> </w:t>
            </w:r>
          </w:p>
        </w:tc>
      </w:tr>
      <w:tr w:rsidR="004728DA" w:rsidRPr="00475136" w14:paraId="5D44BE0A" w14:textId="77777777" w:rsidTr="00E67301">
        <w:tc>
          <w:tcPr>
            <w:tcW w:w="9490" w:type="dxa"/>
            <w:tcBorders>
              <w:top w:val="single" w:sz="6" w:space="0" w:color="auto"/>
              <w:left w:val="single" w:sz="6" w:space="0" w:color="auto"/>
              <w:bottom w:val="single" w:sz="6" w:space="0" w:color="auto"/>
              <w:right w:val="single" w:sz="6" w:space="0" w:color="auto"/>
            </w:tcBorders>
            <w:shd w:val="clear" w:color="auto" w:fill="auto"/>
            <w:hideMark/>
          </w:tcPr>
          <w:p w14:paraId="214488E7" w14:textId="77777777" w:rsidR="004728DA" w:rsidRPr="00475136" w:rsidRDefault="004728DA" w:rsidP="004E6BD9">
            <w:pPr>
              <w:numPr>
                <w:ilvl w:val="0"/>
                <w:numId w:val="21"/>
              </w:numPr>
              <w:spacing w:after="0" w:line="240" w:lineRule="auto"/>
              <w:ind w:left="360" w:firstLine="0"/>
              <w:textAlignment w:val="baseline"/>
              <w:rPr>
                <w:rFonts w:eastAsia="Times New Roman" w:cstheme="minorHAnsi"/>
                <w:lang w:eastAsia="en-GB"/>
              </w:rPr>
            </w:pPr>
            <w:r w:rsidRPr="00475136">
              <w:rPr>
                <w:rFonts w:eastAsia="Times New Roman" w:cstheme="minorHAnsi"/>
                <w:lang w:eastAsia="en-GB"/>
              </w:rPr>
              <w:t>If resources allow, the Improvement Service (IS) should take forward the development of a child poverty mapping tool based on HMRC/DWP Children in Low Income Household statistics and SEEMIS data on uptake of local educational benefits (in the first instance) and develop costed proposals for a range of different functionalities. This would enable all 32 local authorities to see a physical representation of child poverty in their local area at data zone level. Inclusion of SEEMIS data would ensure the resource was more up to date than the current HBAI mapping tool. </w:t>
            </w:r>
            <w:r w:rsidRPr="00475136">
              <w:rPr>
                <w:rFonts w:eastAsia="Times New Roman" w:cstheme="minorHAnsi"/>
                <w:lang w:eastAsia="en-GB"/>
              </w:rPr>
              <w:br/>
              <w:t>  </w:t>
            </w:r>
          </w:p>
        </w:tc>
      </w:tr>
      <w:tr w:rsidR="004728DA" w:rsidRPr="00475136" w14:paraId="4E125365" w14:textId="77777777" w:rsidTr="00E67301">
        <w:tc>
          <w:tcPr>
            <w:tcW w:w="9490" w:type="dxa"/>
            <w:tcBorders>
              <w:top w:val="single" w:sz="6" w:space="0" w:color="auto"/>
              <w:left w:val="single" w:sz="6" w:space="0" w:color="auto"/>
              <w:bottom w:val="single" w:sz="6" w:space="0" w:color="auto"/>
              <w:right w:val="single" w:sz="6" w:space="0" w:color="auto"/>
            </w:tcBorders>
            <w:shd w:val="clear" w:color="auto" w:fill="auto"/>
            <w:hideMark/>
          </w:tcPr>
          <w:p w14:paraId="0A7CA975" w14:textId="77777777" w:rsidR="004728DA" w:rsidRDefault="004728DA" w:rsidP="004E6BD9">
            <w:pPr>
              <w:numPr>
                <w:ilvl w:val="0"/>
                <w:numId w:val="22"/>
              </w:numPr>
              <w:spacing w:after="0" w:line="240" w:lineRule="auto"/>
              <w:ind w:left="360" w:firstLine="0"/>
              <w:textAlignment w:val="baseline"/>
              <w:rPr>
                <w:rFonts w:eastAsia="Times New Roman" w:cstheme="minorHAnsi"/>
                <w:lang w:eastAsia="en-GB"/>
              </w:rPr>
            </w:pPr>
            <w:r w:rsidRPr="00475136">
              <w:rPr>
                <w:rFonts w:eastAsia="Times New Roman" w:cstheme="minorHAnsi"/>
                <w:lang w:eastAsia="en-GB"/>
              </w:rPr>
              <w:t>The IS should facilitate a short life working group to inform the development of this resource. </w:t>
            </w:r>
          </w:p>
          <w:p w14:paraId="313B6159" w14:textId="6D204825" w:rsidR="004728DA" w:rsidRPr="00475136" w:rsidRDefault="004728DA" w:rsidP="004728DA">
            <w:pPr>
              <w:spacing w:after="0" w:line="240" w:lineRule="auto"/>
              <w:ind w:left="360"/>
              <w:textAlignment w:val="baseline"/>
              <w:rPr>
                <w:rFonts w:eastAsia="Times New Roman" w:cstheme="minorHAnsi"/>
                <w:lang w:eastAsia="en-GB"/>
              </w:rPr>
            </w:pPr>
          </w:p>
        </w:tc>
      </w:tr>
      <w:tr w:rsidR="004728DA" w:rsidRPr="00475136" w14:paraId="5E1B7608" w14:textId="77777777" w:rsidTr="00E67301">
        <w:tc>
          <w:tcPr>
            <w:tcW w:w="9490" w:type="dxa"/>
            <w:tcBorders>
              <w:top w:val="single" w:sz="6" w:space="0" w:color="auto"/>
              <w:left w:val="single" w:sz="6" w:space="0" w:color="auto"/>
              <w:bottom w:val="single" w:sz="6" w:space="0" w:color="auto"/>
              <w:right w:val="single" w:sz="6" w:space="0" w:color="auto"/>
            </w:tcBorders>
            <w:shd w:val="clear" w:color="auto" w:fill="auto"/>
            <w:hideMark/>
          </w:tcPr>
          <w:p w14:paraId="30162F25" w14:textId="77777777" w:rsidR="004728DA" w:rsidRPr="00475136" w:rsidRDefault="004728DA" w:rsidP="00E67301">
            <w:pPr>
              <w:textAlignment w:val="baseline"/>
              <w:rPr>
                <w:rFonts w:eastAsia="Times New Roman" w:cstheme="minorHAnsi"/>
                <w:lang w:eastAsia="en-GB"/>
              </w:rPr>
            </w:pPr>
            <w:r w:rsidRPr="00475136">
              <w:rPr>
                <w:rFonts w:eastAsia="Times New Roman" w:cstheme="minorHAnsi"/>
                <w:b/>
                <w:bCs/>
                <w:lang w:eastAsia="en-GB"/>
              </w:rPr>
              <w:t>Understanding and Acting upon the cost of living in remote and rural locations</w:t>
            </w:r>
            <w:r w:rsidRPr="00475136">
              <w:rPr>
                <w:rFonts w:eastAsia="Times New Roman" w:cstheme="minorHAnsi"/>
                <w:lang w:eastAsia="en-GB"/>
              </w:rPr>
              <w:t> </w:t>
            </w:r>
            <w:r w:rsidRPr="00475136">
              <w:rPr>
                <w:rFonts w:eastAsia="Times New Roman" w:cstheme="minorHAnsi"/>
                <w:lang w:eastAsia="en-GB"/>
              </w:rPr>
              <w:br/>
              <w:t> </w:t>
            </w:r>
          </w:p>
        </w:tc>
      </w:tr>
      <w:tr w:rsidR="004728DA" w:rsidRPr="00475136" w14:paraId="3AAABCB0" w14:textId="77777777" w:rsidTr="00E67301">
        <w:tc>
          <w:tcPr>
            <w:tcW w:w="9490" w:type="dxa"/>
            <w:tcBorders>
              <w:top w:val="single" w:sz="6" w:space="0" w:color="auto"/>
              <w:left w:val="single" w:sz="6" w:space="0" w:color="auto"/>
              <w:bottom w:val="single" w:sz="6" w:space="0" w:color="auto"/>
              <w:right w:val="single" w:sz="6" w:space="0" w:color="auto"/>
            </w:tcBorders>
            <w:shd w:val="clear" w:color="auto" w:fill="auto"/>
            <w:hideMark/>
          </w:tcPr>
          <w:p w14:paraId="5E8BF7B5" w14:textId="77777777" w:rsidR="004728DA" w:rsidRPr="00475136" w:rsidRDefault="004728DA" w:rsidP="004E6BD9">
            <w:pPr>
              <w:numPr>
                <w:ilvl w:val="0"/>
                <w:numId w:val="23"/>
              </w:numPr>
              <w:spacing w:after="0" w:line="240" w:lineRule="auto"/>
              <w:ind w:left="360" w:firstLine="0"/>
              <w:textAlignment w:val="baseline"/>
              <w:rPr>
                <w:rFonts w:eastAsia="Times New Roman" w:cstheme="minorHAnsi"/>
                <w:lang w:eastAsia="en-GB"/>
              </w:rPr>
            </w:pPr>
            <w:r w:rsidRPr="00475136">
              <w:rPr>
                <w:rFonts w:eastAsia="Times New Roman" w:cstheme="minorHAnsi"/>
                <w:lang w:eastAsia="en-GB"/>
              </w:rPr>
              <w:t>The Scottish Government should support annual research into the Minimum Income Standard in remote and rural areas. As well as contributing to a more comprehensive understanding of child poverty in remote and rural areas such an approach could also inform remote and rural policy more generally, including the development of Island Communities Impact Assessments (ICIAs) etc. In commissioning such research the Scottish Government would need to ensure sample sizes are large enough to reflect variations across different Scottish Government Urban Rural Classifications and household types (potentially including priority households.)  </w:t>
            </w:r>
            <w:r w:rsidRPr="00475136">
              <w:rPr>
                <w:rFonts w:eastAsia="Times New Roman" w:cstheme="minorHAnsi"/>
                <w:lang w:eastAsia="en-GB"/>
              </w:rPr>
              <w:br/>
              <w:t> </w:t>
            </w:r>
          </w:p>
        </w:tc>
      </w:tr>
      <w:tr w:rsidR="004728DA" w:rsidRPr="00475136" w14:paraId="284D3C69" w14:textId="77777777" w:rsidTr="00E67301">
        <w:tc>
          <w:tcPr>
            <w:tcW w:w="9490" w:type="dxa"/>
            <w:tcBorders>
              <w:top w:val="single" w:sz="6" w:space="0" w:color="auto"/>
              <w:left w:val="single" w:sz="6" w:space="0" w:color="auto"/>
              <w:bottom w:val="single" w:sz="6" w:space="0" w:color="auto"/>
              <w:right w:val="single" w:sz="6" w:space="0" w:color="auto"/>
            </w:tcBorders>
            <w:shd w:val="clear" w:color="auto" w:fill="auto"/>
            <w:hideMark/>
          </w:tcPr>
          <w:p w14:paraId="43156EEC" w14:textId="77777777" w:rsidR="004728DA" w:rsidRPr="00475136" w:rsidRDefault="004728DA" w:rsidP="004E6BD9">
            <w:pPr>
              <w:numPr>
                <w:ilvl w:val="0"/>
                <w:numId w:val="24"/>
              </w:numPr>
              <w:spacing w:after="0" w:line="240" w:lineRule="auto"/>
              <w:ind w:left="360" w:firstLine="0"/>
              <w:textAlignment w:val="baseline"/>
              <w:rPr>
                <w:rFonts w:eastAsia="Times New Roman" w:cstheme="minorHAnsi"/>
                <w:lang w:eastAsia="en-GB"/>
              </w:rPr>
            </w:pPr>
            <w:r w:rsidRPr="00475136">
              <w:rPr>
                <w:rFonts w:eastAsia="Times New Roman" w:cstheme="minorHAnsi"/>
                <w:lang w:eastAsia="en-GB"/>
              </w:rPr>
              <w:t>The Scottish Government should give consideration to how technology and artificial intelligence might support a more accurate and up to date understanding of how the cost of living varies – both over time and across different geographical locations. Applications/‘apps’ such as Trolley use real time information to compare the cost of a basket of goods in supermarkets across the country. Taking a similar approach – potentially including real time information on the cost of housing, energy and transport in rural settings- would help ensure policy making is informed by a comprehensive understanding of the cost of living.  </w:t>
            </w:r>
            <w:r w:rsidRPr="00475136">
              <w:rPr>
                <w:rFonts w:eastAsia="Times New Roman" w:cstheme="minorHAnsi"/>
                <w:lang w:eastAsia="en-GB"/>
              </w:rPr>
              <w:br/>
              <w:t> </w:t>
            </w:r>
          </w:p>
        </w:tc>
      </w:tr>
      <w:tr w:rsidR="004728DA" w:rsidRPr="00475136" w14:paraId="1F35C2A5" w14:textId="77777777" w:rsidTr="00E67301">
        <w:tc>
          <w:tcPr>
            <w:tcW w:w="9490" w:type="dxa"/>
            <w:tcBorders>
              <w:top w:val="single" w:sz="6" w:space="0" w:color="auto"/>
              <w:left w:val="single" w:sz="6" w:space="0" w:color="auto"/>
              <w:bottom w:val="single" w:sz="6" w:space="0" w:color="auto"/>
              <w:right w:val="single" w:sz="6" w:space="0" w:color="auto"/>
            </w:tcBorders>
            <w:shd w:val="clear" w:color="auto" w:fill="auto"/>
            <w:hideMark/>
          </w:tcPr>
          <w:p w14:paraId="36135878" w14:textId="77777777" w:rsidR="004728DA" w:rsidRPr="00475136" w:rsidRDefault="004728DA" w:rsidP="004E6BD9">
            <w:pPr>
              <w:numPr>
                <w:ilvl w:val="0"/>
                <w:numId w:val="25"/>
              </w:numPr>
              <w:spacing w:after="0" w:line="240" w:lineRule="auto"/>
              <w:ind w:left="360" w:firstLine="0"/>
              <w:textAlignment w:val="baseline"/>
              <w:rPr>
                <w:rFonts w:eastAsia="Times New Roman" w:cstheme="minorHAnsi"/>
                <w:lang w:eastAsia="en-GB"/>
              </w:rPr>
            </w:pPr>
            <w:r w:rsidRPr="00475136">
              <w:rPr>
                <w:rFonts w:eastAsia="Times New Roman" w:cstheme="minorHAnsi"/>
                <w:lang w:eastAsia="en-GB"/>
              </w:rPr>
              <w:t>Consideration should be given to funding access to CACI for public sector bodies in Scotland. CACI can provide an insight into ongoing and future increases in the cost of living, transactional data about household spending and provide insights on the likely impact of cost of living increases on financial behaviours across different geographies and ACORN household types. Further discussions with CACI might provide some insight on the specific advantages this could bring in the remote/rural context.  </w:t>
            </w:r>
            <w:r w:rsidRPr="00475136">
              <w:rPr>
                <w:rFonts w:eastAsia="Times New Roman" w:cstheme="minorHAnsi"/>
                <w:lang w:eastAsia="en-GB"/>
              </w:rPr>
              <w:br/>
              <w:t> </w:t>
            </w:r>
          </w:p>
        </w:tc>
      </w:tr>
      <w:tr w:rsidR="004728DA" w:rsidRPr="00475136" w14:paraId="78F33BC4" w14:textId="77777777" w:rsidTr="00E67301">
        <w:tc>
          <w:tcPr>
            <w:tcW w:w="9490" w:type="dxa"/>
            <w:tcBorders>
              <w:top w:val="single" w:sz="6" w:space="0" w:color="auto"/>
              <w:left w:val="single" w:sz="6" w:space="0" w:color="auto"/>
              <w:bottom w:val="single" w:sz="6" w:space="0" w:color="auto"/>
              <w:right w:val="single" w:sz="6" w:space="0" w:color="auto"/>
            </w:tcBorders>
            <w:shd w:val="clear" w:color="auto" w:fill="auto"/>
            <w:hideMark/>
          </w:tcPr>
          <w:p w14:paraId="6C78FF9E" w14:textId="77777777" w:rsidR="004728DA" w:rsidRPr="00475136" w:rsidRDefault="004728DA" w:rsidP="00E67301">
            <w:pPr>
              <w:textAlignment w:val="baseline"/>
              <w:rPr>
                <w:rFonts w:eastAsia="Times New Roman" w:cstheme="minorHAnsi"/>
                <w:lang w:eastAsia="en-GB"/>
              </w:rPr>
            </w:pPr>
            <w:r w:rsidRPr="00475136">
              <w:rPr>
                <w:rFonts w:eastAsia="Times New Roman" w:cstheme="minorHAnsi"/>
                <w:lang w:eastAsia="en-GB"/>
              </w:rPr>
              <w:t>In addition to developing a clearer understanding of the additional cost of living in remote and rural areas, national and local government should embed practices which ensure these differences are taken into account in policy development and service delivery.   </w:t>
            </w:r>
            <w:r w:rsidRPr="00475136">
              <w:rPr>
                <w:rFonts w:eastAsia="Times New Roman" w:cstheme="minorHAnsi"/>
                <w:lang w:eastAsia="en-GB"/>
              </w:rPr>
              <w:br/>
              <w:t> </w:t>
            </w:r>
          </w:p>
        </w:tc>
      </w:tr>
      <w:tr w:rsidR="004728DA" w:rsidRPr="00475136" w14:paraId="53D26A21" w14:textId="77777777" w:rsidTr="00E67301">
        <w:tc>
          <w:tcPr>
            <w:tcW w:w="9490" w:type="dxa"/>
            <w:tcBorders>
              <w:top w:val="single" w:sz="6" w:space="0" w:color="auto"/>
              <w:left w:val="single" w:sz="6" w:space="0" w:color="auto"/>
              <w:bottom w:val="single" w:sz="6" w:space="0" w:color="auto"/>
              <w:right w:val="single" w:sz="6" w:space="0" w:color="auto"/>
            </w:tcBorders>
            <w:shd w:val="clear" w:color="auto" w:fill="auto"/>
            <w:hideMark/>
          </w:tcPr>
          <w:p w14:paraId="2648D9A6" w14:textId="77777777" w:rsidR="004728DA" w:rsidRPr="00475136" w:rsidRDefault="004728DA" w:rsidP="004E6BD9">
            <w:pPr>
              <w:numPr>
                <w:ilvl w:val="0"/>
                <w:numId w:val="26"/>
              </w:numPr>
              <w:spacing w:after="0" w:line="240" w:lineRule="auto"/>
              <w:ind w:left="360" w:firstLine="0"/>
              <w:textAlignment w:val="baseline"/>
              <w:rPr>
                <w:rFonts w:eastAsia="Times New Roman" w:cstheme="minorHAnsi"/>
                <w:lang w:eastAsia="en-GB"/>
              </w:rPr>
            </w:pPr>
            <w:r w:rsidRPr="00475136">
              <w:rPr>
                <w:rFonts w:eastAsia="Times New Roman" w:cstheme="minorHAnsi"/>
                <w:lang w:eastAsia="en-GB"/>
              </w:rPr>
              <w:t>The Scottish Government and COSLA should consider the introduction of a remote/rural/island premium for devolved family benefits (such as Scottish Child Payment and Child Disability Payment) and locally delivered benefits (such as School Clothing Grant and Educational Maintenance Allowance.)  </w:t>
            </w:r>
            <w:r w:rsidRPr="00475136">
              <w:rPr>
                <w:rFonts w:eastAsia="Times New Roman" w:cstheme="minorHAnsi"/>
                <w:lang w:eastAsia="en-GB"/>
              </w:rPr>
              <w:br/>
              <w:t> </w:t>
            </w:r>
          </w:p>
        </w:tc>
      </w:tr>
      <w:tr w:rsidR="004728DA" w:rsidRPr="00475136" w14:paraId="538FEBF0" w14:textId="77777777" w:rsidTr="00E67301">
        <w:tc>
          <w:tcPr>
            <w:tcW w:w="9490" w:type="dxa"/>
            <w:tcBorders>
              <w:top w:val="single" w:sz="6" w:space="0" w:color="auto"/>
              <w:left w:val="single" w:sz="6" w:space="0" w:color="auto"/>
              <w:bottom w:val="single" w:sz="6" w:space="0" w:color="auto"/>
              <w:right w:val="single" w:sz="6" w:space="0" w:color="auto"/>
            </w:tcBorders>
            <w:shd w:val="clear" w:color="auto" w:fill="auto"/>
            <w:hideMark/>
          </w:tcPr>
          <w:p w14:paraId="4A3E5000" w14:textId="77777777" w:rsidR="004728DA" w:rsidRPr="00475136" w:rsidRDefault="004728DA" w:rsidP="004E6BD9">
            <w:pPr>
              <w:numPr>
                <w:ilvl w:val="0"/>
                <w:numId w:val="27"/>
              </w:numPr>
              <w:spacing w:after="0" w:line="240" w:lineRule="auto"/>
              <w:ind w:left="360" w:firstLine="0"/>
              <w:textAlignment w:val="baseline"/>
              <w:rPr>
                <w:rFonts w:eastAsia="Times New Roman" w:cstheme="minorHAnsi"/>
                <w:lang w:eastAsia="en-GB"/>
              </w:rPr>
            </w:pPr>
            <w:r w:rsidRPr="00475136">
              <w:rPr>
                <w:rFonts w:eastAsia="Times New Roman" w:cstheme="minorHAnsi"/>
                <w:lang w:eastAsia="en-GB"/>
              </w:rPr>
              <w:t>The public and third sector in Scotland should engage with private sector employers around the adequacy of pay in remote rural areas and explore the feasibility of something akin to a Campaign for Remote Island Weighting to ensure pay is adequate to allow for an acceptable standard of living amongst employees in remote and rural areas.  </w:t>
            </w:r>
            <w:r w:rsidRPr="00475136">
              <w:rPr>
                <w:rFonts w:eastAsia="Times New Roman" w:cstheme="minorHAnsi"/>
                <w:lang w:eastAsia="en-GB"/>
              </w:rPr>
              <w:br/>
              <w:t> </w:t>
            </w:r>
          </w:p>
        </w:tc>
      </w:tr>
      <w:tr w:rsidR="004728DA" w:rsidRPr="00475136" w14:paraId="6B93769E" w14:textId="77777777" w:rsidTr="00E67301">
        <w:tc>
          <w:tcPr>
            <w:tcW w:w="9490" w:type="dxa"/>
            <w:tcBorders>
              <w:top w:val="single" w:sz="6" w:space="0" w:color="auto"/>
              <w:left w:val="single" w:sz="6" w:space="0" w:color="auto"/>
              <w:bottom w:val="single" w:sz="6" w:space="0" w:color="auto"/>
              <w:right w:val="single" w:sz="6" w:space="0" w:color="auto"/>
            </w:tcBorders>
            <w:shd w:val="clear" w:color="auto" w:fill="auto"/>
            <w:hideMark/>
          </w:tcPr>
          <w:p w14:paraId="535B2B28" w14:textId="77777777" w:rsidR="004728DA" w:rsidRPr="00475136" w:rsidRDefault="004728DA" w:rsidP="004E6BD9">
            <w:pPr>
              <w:numPr>
                <w:ilvl w:val="0"/>
                <w:numId w:val="28"/>
              </w:numPr>
              <w:spacing w:after="0" w:line="240" w:lineRule="auto"/>
              <w:ind w:left="360" w:firstLine="0"/>
              <w:textAlignment w:val="baseline"/>
              <w:rPr>
                <w:rFonts w:eastAsia="Times New Roman" w:cstheme="minorHAnsi"/>
                <w:lang w:eastAsia="en-GB"/>
              </w:rPr>
            </w:pPr>
            <w:r w:rsidRPr="00475136">
              <w:rPr>
                <w:rFonts w:eastAsia="Times New Roman" w:cstheme="minorHAnsi"/>
                <w:lang w:eastAsia="en-GB"/>
              </w:rPr>
              <w:t>Consideration should be given by both the Scottish Government and COSLA as to how effectively the cost of living is taken into account in relation to the allocation of funding intended to reduce or alleviate child poverty. This might include routinely taking account of child poverty rates adjusted to reflect the cost of living. The existence of such a measure was put forward in a recent Scottish Government research paper which concluded that, “t</w:t>
            </w:r>
            <w:r w:rsidRPr="00475136">
              <w:rPr>
                <w:rFonts w:eastAsia="Times New Roman" w:cstheme="minorHAnsi"/>
                <w:i/>
                <w:iCs/>
                <w:lang w:eastAsia="en-GB"/>
              </w:rPr>
              <w:t>o better understand the impact of the cost of living on rural poverty, it may be useful to conduct further research into the feasibility of applying a rural cost-of-living adjustment to the poverty threshold (currently 60% of the UK median income). Such an adjustment may present a more accurate picture of rural poverty”.</w:t>
            </w:r>
            <w:proofErr w:type="spellStart"/>
            <w:r w:rsidRPr="00475136">
              <w:rPr>
                <w:rFonts w:eastAsia="Times New Roman" w:cstheme="minorHAnsi"/>
                <w:i/>
                <w:iCs/>
                <w:vertAlign w:val="superscript"/>
                <w:lang w:eastAsia="en-GB"/>
              </w:rPr>
              <w:t>i</w:t>
            </w:r>
            <w:proofErr w:type="spellEnd"/>
            <w:r w:rsidRPr="00475136">
              <w:rPr>
                <w:rFonts w:eastAsia="Times New Roman" w:cstheme="minorHAnsi"/>
                <w:lang w:eastAsia="en-GB"/>
              </w:rPr>
              <w:t> </w:t>
            </w:r>
            <w:r w:rsidRPr="00475136">
              <w:rPr>
                <w:rFonts w:eastAsia="Times New Roman" w:cstheme="minorHAnsi"/>
                <w:lang w:eastAsia="en-GB"/>
              </w:rPr>
              <w:br/>
              <w:t> </w:t>
            </w:r>
          </w:p>
        </w:tc>
      </w:tr>
      <w:tr w:rsidR="004728DA" w:rsidRPr="00475136" w14:paraId="47DF468F" w14:textId="77777777" w:rsidTr="00E67301">
        <w:tc>
          <w:tcPr>
            <w:tcW w:w="9490" w:type="dxa"/>
            <w:tcBorders>
              <w:top w:val="single" w:sz="6" w:space="0" w:color="auto"/>
              <w:left w:val="single" w:sz="6" w:space="0" w:color="auto"/>
              <w:bottom w:val="single" w:sz="6" w:space="0" w:color="auto"/>
              <w:right w:val="single" w:sz="6" w:space="0" w:color="auto"/>
            </w:tcBorders>
            <w:shd w:val="clear" w:color="auto" w:fill="auto"/>
            <w:hideMark/>
          </w:tcPr>
          <w:p w14:paraId="133A8A7B" w14:textId="77777777" w:rsidR="004728DA" w:rsidRPr="00475136" w:rsidRDefault="004728DA" w:rsidP="00E67301">
            <w:pPr>
              <w:textAlignment w:val="baseline"/>
              <w:rPr>
                <w:rFonts w:eastAsia="Times New Roman" w:cstheme="minorHAnsi"/>
                <w:lang w:eastAsia="en-GB"/>
              </w:rPr>
            </w:pPr>
            <w:r w:rsidRPr="00475136">
              <w:rPr>
                <w:rFonts w:eastAsia="Times New Roman" w:cstheme="minorHAnsi"/>
                <w:b/>
                <w:bCs/>
                <w:lang w:eastAsia="en-GB"/>
              </w:rPr>
              <w:t>Lived Experience</w:t>
            </w:r>
            <w:r w:rsidRPr="00475136">
              <w:rPr>
                <w:rFonts w:eastAsia="Times New Roman" w:cstheme="minorHAnsi"/>
                <w:lang w:eastAsia="en-GB"/>
              </w:rPr>
              <w:t> </w:t>
            </w:r>
          </w:p>
        </w:tc>
      </w:tr>
      <w:tr w:rsidR="004728DA" w:rsidRPr="00475136" w14:paraId="09D79292" w14:textId="77777777" w:rsidTr="00E67301">
        <w:tc>
          <w:tcPr>
            <w:tcW w:w="9490" w:type="dxa"/>
            <w:tcBorders>
              <w:top w:val="single" w:sz="6" w:space="0" w:color="auto"/>
              <w:left w:val="single" w:sz="6" w:space="0" w:color="auto"/>
              <w:bottom w:val="single" w:sz="6" w:space="0" w:color="auto"/>
              <w:right w:val="single" w:sz="6" w:space="0" w:color="auto"/>
            </w:tcBorders>
            <w:shd w:val="clear" w:color="auto" w:fill="auto"/>
            <w:hideMark/>
          </w:tcPr>
          <w:p w14:paraId="5BA2A66D" w14:textId="77777777" w:rsidR="004728DA" w:rsidRPr="00475136" w:rsidRDefault="004728DA" w:rsidP="004E6BD9">
            <w:pPr>
              <w:numPr>
                <w:ilvl w:val="0"/>
                <w:numId w:val="29"/>
              </w:numPr>
              <w:spacing w:after="0" w:line="240" w:lineRule="auto"/>
              <w:ind w:left="360" w:firstLine="0"/>
              <w:textAlignment w:val="baseline"/>
              <w:rPr>
                <w:rFonts w:eastAsia="Times New Roman" w:cstheme="minorHAnsi"/>
                <w:lang w:eastAsia="en-GB"/>
              </w:rPr>
            </w:pPr>
            <w:r w:rsidRPr="00475136">
              <w:rPr>
                <w:rFonts w:eastAsia="Times New Roman" w:cstheme="minorHAnsi"/>
                <w:lang w:eastAsia="en-GB"/>
              </w:rPr>
              <w:t>If resources allow, the Northern Alliance and Poverty Alliance should work in partnership to compile examples of engagement in remote and rural settings. This would involve working with local child poverty leads and analysing Year 3 and 4 LCPARs to draw out examples of current activity to engage, the reach/scale of engagement, the influence/impact that engagement has had to date, the cost of engagement and the extent to which it is valued and engaged by local decisions makers.  </w:t>
            </w:r>
            <w:r w:rsidRPr="00475136">
              <w:rPr>
                <w:rFonts w:eastAsia="Times New Roman" w:cstheme="minorHAnsi"/>
                <w:lang w:eastAsia="en-GB"/>
              </w:rPr>
              <w:br/>
              <w:t> </w:t>
            </w:r>
          </w:p>
        </w:tc>
      </w:tr>
      <w:tr w:rsidR="004728DA" w:rsidRPr="00475136" w14:paraId="2CBF094F" w14:textId="77777777" w:rsidTr="00E67301">
        <w:trPr>
          <w:trHeight w:val="2295"/>
        </w:trPr>
        <w:tc>
          <w:tcPr>
            <w:tcW w:w="9490" w:type="dxa"/>
            <w:tcBorders>
              <w:top w:val="single" w:sz="6" w:space="0" w:color="auto"/>
              <w:left w:val="single" w:sz="6" w:space="0" w:color="auto"/>
              <w:bottom w:val="single" w:sz="6" w:space="0" w:color="auto"/>
              <w:right w:val="single" w:sz="6" w:space="0" w:color="auto"/>
            </w:tcBorders>
            <w:shd w:val="clear" w:color="auto" w:fill="auto"/>
            <w:hideMark/>
          </w:tcPr>
          <w:p w14:paraId="2E1E9EE4" w14:textId="77777777" w:rsidR="004728DA" w:rsidRPr="00475136" w:rsidRDefault="004728DA" w:rsidP="004E6BD9">
            <w:pPr>
              <w:numPr>
                <w:ilvl w:val="0"/>
                <w:numId w:val="30"/>
              </w:numPr>
              <w:spacing w:after="0" w:line="240" w:lineRule="auto"/>
              <w:ind w:left="360" w:firstLine="0"/>
              <w:textAlignment w:val="baseline"/>
              <w:rPr>
                <w:rFonts w:eastAsia="Times New Roman" w:cstheme="minorHAnsi"/>
                <w:lang w:eastAsia="en-GB"/>
              </w:rPr>
            </w:pPr>
            <w:r w:rsidRPr="00475136">
              <w:rPr>
                <w:rFonts w:eastAsia="Times New Roman" w:cstheme="minorHAnsi"/>
                <w:lang w:eastAsia="en-GB"/>
              </w:rPr>
              <w:t>Local and national government and the third sector should develop closer links with academia to fill current gaps in engagement with those with lived experience of child poverty in remote and rural settings. Gaps identified through this project include: </w:t>
            </w:r>
          </w:p>
          <w:p w14:paraId="67C25EFA" w14:textId="77777777" w:rsidR="004728DA" w:rsidRPr="00475136" w:rsidRDefault="004728DA" w:rsidP="004E6BD9">
            <w:pPr>
              <w:numPr>
                <w:ilvl w:val="0"/>
                <w:numId w:val="31"/>
              </w:numPr>
              <w:spacing w:after="0" w:line="240" w:lineRule="auto"/>
              <w:ind w:firstLine="0"/>
              <w:textAlignment w:val="baseline"/>
              <w:rPr>
                <w:rFonts w:eastAsia="Times New Roman" w:cstheme="minorHAnsi"/>
                <w:lang w:eastAsia="en-GB"/>
              </w:rPr>
            </w:pPr>
            <w:r w:rsidRPr="00475136">
              <w:rPr>
                <w:rFonts w:eastAsia="Times New Roman" w:cstheme="minorHAnsi"/>
                <w:lang w:eastAsia="en-GB"/>
              </w:rPr>
              <w:t>The experience of households in which someone is disabled in remote / rural areas. </w:t>
            </w:r>
          </w:p>
          <w:p w14:paraId="26C287F8" w14:textId="77777777" w:rsidR="004728DA" w:rsidRPr="00475136" w:rsidRDefault="004728DA" w:rsidP="004E6BD9">
            <w:pPr>
              <w:numPr>
                <w:ilvl w:val="0"/>
                <w:numId w:val="31"/>
              </w:numPr>
              <w:spacing w:after="0" w:line="240" w:lineRule="auto"/>
              <w:ind w:firstLine="0"/>
              <w:textAlignment w:val="baseline"/>
              <w:rPr>
                <w:rFonts w:eastAsia="Times New Roman" w:cstheme="minorHAnsi"/>
                <w:lang w:eastAsia="en-GB"/>
              </w:rPr>
            </w:pPr>
            <w:r w:rsidRPr="00475136">
              <w:rPr>
                <w:rFonts w:eastAsia="Times New Roman" w:cstheme="minorHAnsi"/>
                <w:lang w:eastAsia="en-GB"/>
              </w:rPr>
              <w:t>The experience on BME households in remote and rural areas.  </w:t>
            </w:r>
          </w:p>
          <w:p w14:paraId="0FE70532" w14:textId="77777777" w:rsidR="004728DA" w:rsidRPr="00475136" w:rsidRDefault="004728DA" w:rsidP="00E67301">
            <w:pPr>
              <w:textAlignment w:val="baseline"/>
              <w:rPr>
                <w:rFonts w:eastAsia="Times New Roman" w:cstheme="minorHAnsi"/>
                <w:lang w:eastAsia="en-GB"/>
              </w:rPr>
            </w:pPr>
            <w:r w:rsidRPr="00475136">
              <w:rPr>
                <w:rFonts w:eastAsia="Times New Roman" w:cstheme="minorHAnsi"/>
                <w:lang w:eastAsia="en-GB"/>
              </w:rPr>
              <w:t>Often these populations are statistically insignificant at local authority level meaning engagement with those with lived experience is of particular importance.  </w:t>
            </w:r>
          </w:p>
        </w:tc>
      </w:tr>
      <w:tr w:rsidR="004728DA" w:rsidRPr="00475136" w14:paraId="7F9783E8" w14:textId="77777777" w:rsidTr="00E67301">
        <w:tc>
          <w:tcPr>
            <w:tcW w:w="9490" w:type="dxa"/>
            <w:tcBorders>
              <w:top w:val="single" w:sz="6" w:space="0" w:color="auto"/>
              <w:left w:val="single" w:sz="6" w:space="0" w:color="auto"/>
              <w:bottom w:val="single" w:sz="6" w:space="0" w:color="auto"/>
              <w:right w:val="single" w:sz="6" w:space="0" w:color="auto"/>
            </w:tcBorders>
            <w:shd w:val="clear" w:color="auto" w:fill="auto"/>
            <w:hideMark/>
          </w:tcPr>
          <w:p w14:paraId="37D4F3BE" w14:textId="77777777" w:rsidR="004728DA" w:rsidRPr="00475136" w:rsidRDefault="004728DA" w:rsidP="004E6BD9">
            <w:pPr>
              <w:numPr>
                <w:ilvl w:val="0"/>
                <w:numId w:val="32"/>
              </w:numPr>
              <w:spacing w:after="0" w:line="240" w:lineRule="auto"/>
              <w:ind w:left="360" w:firstLine="0"/>
              <w:textAlignment w:val="baseline"/>
              <w:rPr>
                <w:rFonts w:eastAsia="Times New Roman" w:cstheme="minorHAnsi"/>
                <w:lang w:eastAsia="en-GB"/>
              </w:rPr>
            </w:pPr>
            <w:r w:rsidRPr="00475136">
              <w:rPr>
                <w:rFonts w:eastAsia="Times New Roman" w:cstheme="minorHAnsi"/>
                <w:lang w:eastAsia="en-GB"/>
              </w:rPr>
              <w:t>In addition to developing ‘</w:t>
            </w:r>
            <w:proofErr w:type="spellStart"/>
            <w:r w:rsidRPr="00475136">
              <w:rPr>
                <w:rFonts w:eastAsia="Times New Roman" w:cstheme="minorHAnsi"/>
                <w:lang w:eastAsia="en-GB"/>
              </w:rPr>
              <w:t>stand alone</w:t>
            </w:r>
            <w:proofErr w:type="spellEnd"/>
            <w:r w:rsidRPr="00475136">
              <w:rPr>
                <w:rFonts w:eastAsia="Times New Roman" w:cstheme="minorHAnsi"/>
                <w:lang w:eastAsia="en-GB"/>
              </w:rPr>
              <w:t>’ projects or programmes of engagement around child poverty, local authorities and their community planning partners should consider how existing information and processes might be used to better inform planning and decision making. Examples of this might include: </w:t>
            </w:r>
            <w:r w:rsidRPr="00475136">
              <w:rPr>
                <w:rFonts w:eastAsia="Times New Roman" w:cstheme="minorHAnsi"/>
                <w:lang w:eastAsia="en-GB"/>
              </w:rPr>
              <w:br/>
              <w:t> </w:t>
            </w:r>
          </w:p>
        </w:tc>
      </w:tr>
      <w:tr w:rsidR="004728DA" w:rsidRPr="00475136" w14:paraId="56C05281" w14:textId="77777777" w:rsidTr="00E67301">
        <w:tc>
          <w:tcPr>
            <w:tcW w:w="9490" w:type="dxa"/>
            <w:tcBorders>
              <w:top w:val="single" w:sz="6" w:space="0" w:color="auto"/>
              <w:left w:val="single" w:sz="6" w:space="0" w:color="auto"/>
              <w:bottom w:val="single" w:sz="6" w:space="0" w:color="auto"/>
              <w:right w:val="single" w:sz="6" w:space="0" w:color="auto"/>
            </w:tcBorders>
            <w:shd w:val="clear" w:color="auto" w:fill="auto"/>
            <w:hideMark/>
          </w:tcPr>
          <w:p w14:paraId="72AC4AD9" w14:textId="77777777" w:rsidR="004728DA" w:rsidRPr="00475136" w:rsidRDefault="004728DA" w:rsidP="004E6BD9">
            <w:pPr>
              <w:numPr>
                <w:ilvl w:val="0"/>
                <w:numId w:val="33"/>
              </w:numPr>
              <w:spacing w:after="0" w:line="240" w:lineRule="auto"/>
              <w:ind w:firstLine="0"/>
              <w:textAlignment w:val="baseline"/>
              <w:rPr>
                <w:rFonts w:eastAsia="Times New Roman" w:cstheme="minorHAnsi"/>
                <w:lang w:eastAsia="en-GB"/>
              </w:rPr>
            </w:pPr>
            <w:r w:rsidRPr="00475136">
              <w:rPr>
                <w:rFonts w:eastAsia="Times New Roman" w:cstheme="minorHAnsi"/>
                <w:lang w:eastAsia="en-GB"/>
              </w:rPr>
              <w:t>Local and national government, the third sector and academia should work together in one local authority area to “mine” the testimonies of lived experience that exist within local authority records, files and data systems. This might involve using anonymised records from social work, education, the Scottish Welfare Fund, housing support, welfare rights teams etc. – to gain an insight into the pressures experienced by those on low incomes in remote and rural areas who may not have the time, inclination or ability to actively engage with local authorities directly. </w:t>
            </w:r>
            <w:r w:rsidRPr="00475136">
              <w:rPr>
                <w:rFonts w:eastAsia="Times New Roman" w:cstheme="minorHAnsi"/>
                <w:lang w:eastAsia="en-GB"/>
              </w:rPr>
              <w:br/>
              <w:t> </w:t>
            </w:r>
          </w:p>
        </w:tc>
      </w:tr>
      <w:tr w:rsidR="004728DA" w:rsidRPr="00475136" w14:paraId="0453A1C6" w14:textId="77777777" w:rsidTr="00E67301">
        <w:tc>
          <w:tcPr>
            <w:tcW w:w="9490" w:type="dxa"/>
            <w:tcBorders>
              <w:top w:val="single" w:sz="6" w:space="0" w:color="auto"/>
              <w:left w:val="single" w:sz="6" w:space="0" w:color="auto"/>
              <w:bottom w:val="single" w:sz="6" w:space="0" w:color="auto"/>
              <w:right w:val="single" w:sz="6" w:space="0" w:color="auto"/>
            </w:tcBorders>
            <w:shd w:val="clear" w:color="auto" w:fill="auto"/>
            <w:hideMark/>
          </w:tcPr>
          <w:p w14:paraId="2B29F974" w14:textId="77777777" w:rsidR="004728DA" w:rsidRPr="00475136" w:rsidRDefault="004728DA" w:rsidP="004E6BD9">
            <w:pPr>
              <w:numPr>
                <w:ilvl w:val="0"/>
                <w:numId w:val="34"/>
              </w:numPr>
              <w:spacing w:after="0" w:line="240" w:lineRule="auto"/>
              <w:ind w:firstLine="0"/>
              <w:textAlignment w:val="baseline"/>
              <w:rPr>
                <w:rFonts w:eastAsia="Times New Roman" w:cstheme="minorHAnsi"/>
                <w:lang w:eastAsia="en-GB"/>
              </w:rPr>
            </w:pPr>
            <w:r w:rsidRPr="00475136">
              <w:rPr>
                <w:rFonts w:eastAsia="Times New Roman" w:cstheme="minorHAnsi"/>
                <w:lang w:eastAsia="en-GB"/>
              </w:rPr>
              <w:t>Refreshing local complaints systems to ensure complaints are used to inform future policy design and decision making in relation to child poverty. This should include providing support for those making complaints and ensuring they are given the opportunity to continue to engage and have an oversight role in relation to any changes that have been made as a result of their complaint. </w:t>
            </w:r>
            <w:r w:rsidRPr="00475136">
              <w:rPr>
                <w:rFonts w:eastAsia="Times New Roman" w:cstheme="minorHAnsi"/>
                <w:lang w:eastAsia="en-GB"/>
              </w:rPr>
              <w:br/>
              <w:t> </w:t>
            </w:r>
          </w:p>
        </w:tc>
      </w:tr>
      <w:tr w:rsidR="004728DA" w:rsidRPr="00475136" w14:paraId="05A2D926" w14:textId="77777777" w:rsidTr="00E67301">
        <w:tc>
          <w:tcPr>
            <w:tcW w:w="9490" w:type="dxa"/>
            <w:tcBorders>
              <w:top w:val="single" w:sz="6" w:space="0" w:color="auto"/>
              <w:left w:val="single" w:sz="6" w:space="0" w:color="auto"/>
              <w:bottom w:val="single" w:sz="6" w:space="0" w:color="auto"/>
              <w:right w:val="single" w:sz="6" w:space="0" w:color="auto"/>
            </w:tcBorders>
            <w:shd w:val="clear" w:color="auto" w:fill="auto"/>
            <w:hideMark/>
          </w:tcPr>
          <w:p w14:paraId="1771D91D" w14:textId="77777777" w:rsidR="004728DA" w:rsidRPr="00475136" w:rsidRDefault="004728DA" w:rsidP="004E6BD9">
            <w:pPr>
              <w:numPr>
                <w:ilvl w:val="0"/>
                <w:numId w:val="35"/>
              </w:numPr>
              <w:spacing w:after="0" w:line="240" w:lineRule="auto"/>
              <w:ind w:firstLine="0"/>
              <w:textAlignment w:val="baseline"/>
              <w:rPr>
                <w:rFonts w:eastAsia="Times New Roman" w:cstheme="minorHAnsi"/>
                <w:lang w:eastAsia="en-GB"/>
              </w:rPr>
            </w:pPr>
            <w:r w:rsidRPr="00475136">
              <w:rPr>
                <w:rFonts w:eastAsia="Times New Roman" w:cstheme="minorHAnsi"/>
                <w:lang w:eastAsia="en-GB"/>
              </w:rPr>
              <w:t>Local government, the Scottish Government and Audit Scotland – for example - should ensure that local government is fulfilling existing duties to engage with its citizens and communities in relation to both Community Planning, the Community Empowerment Act and in meeting Best Value Requirements. The statutory Best Value Guidance, for instance, states that “</w:t>
            </w:r>
            <w:r w:rsidRPr="00475136">
              <w:rPr>
                <w:rFonts w:eastAsia="Times New Roman" w:cstheme="minorHAnsi"/>
                <w:i/>
                <w:iCs/>
                <w:lang w:eastAsia="en-GB"/>
              </w:rPr>
              <w:t>A local authority which secures Best Value will be able to demonstrate responsiveness to the needs of its communities, citizens, customers, employees and other stakeholders, so that plans, priorities, and actions are informed by an understanding of those needs an ongoing dialogue with other public sector partners and the local business, voluntary and community sectors consultation arrangements which are open, fair and inclusive.”</w:t>
            </w:r>
            <w:r w:rsidRPr="00475136">
              <w:rPr>
                <w:rFonts w:eastAsia="Times New Roman" w:cstheme="minorHAnsi"/>
                <w:lang w:eastAsia="en-GB"/>
              </w:rPr>
              <w:t> </w:t>
            </w:r>
            <w:r w:rsidRPr="00475136">
              <w:rPr>
                <w:rFonts w:eastAsia="Times New Roman" w:cstheme="minorHAnsi"/>
                <w:lang w:eastAsia="en-GB"/>
              </w:rPr>
              <w:br/>
              <w:t> </w:t>
            </w:r>
          </w:p>
        </w:tc>
      </w:tr>
    </w:tbl>
    <w:p w14:paraId="53712F57" w14:textId="77777777" w:rsidR="004728DA" w:rsidRPr="009422A9" w:rsidRDefault="004728DA" w:rsidP="004728DA">
      <w:pPr>
        <w:textAlignment w:val="baseline"/>
        <w:rPr>
          <w:rFonts w:ascii="Segoe UI" w:eastAsia="Times New Roman" w:hAnsi="Segoe UI" w:cs="Segoe UI"/>
          <w:sz w:val="18"/>
          <w:szCs w:val="18"/>
          <w:lang w:eastAsia="en-GB"/>
        </w:rPr>
      </w:pPr>
      <w:r w:rsidRPr="009422A9">
        <w:rPr>
          <w:rFonts w:ascii="Arial" w:eastAsia="Times New Roman" w:hAnsi="Arial" w:cs="Arial"/>
          <w:lang w:eastAsia="en-GB"/>
        </w:rPr>
        <w:t> </w:t>
      </w:r>
    </w:p>
    <w:p w14:paraId="383200B6" w14:textId="77777777" w:rsidR="004728DA" w:rsidRDefault="004728DA" w:rsidP="004728DA"/>
    <w:p w14:paraId="22340A9A" w14:textId="41878452" w:rsidR="004728DA" w:rsidRDefault="004728DA" w:rsidP="00D35F96"/>
    <w:p w14:paraId="51859FC5" w14:textId="77777777" w:rsidR="004E6BD9" w:rsidRDefault="004E6BD9">
      <w:pPr>
        <w:sectPr w:rsidR="004E6BD9" w:rsidSect="00475982">
          <w:pgSz w:w="11906" w:h="16838"/>
          <w:pgMar w:top="1021" w:right="1021" w:bottom="1021" w:left="1021" w:header="709" w:footer="709" w:gutter="0"/>
          <w:cols w:space="708"/>
          <w:docGrid w:linePitch="360"/>
        </w:sectPr>
      </w:pPr>
    </w:p>
    <w:p w14:paraId="27E42092" w14:textId="2FFB2C11" w:rsidR="00D35F96" w:rsidRDefault="004E6BD9" w:rsidP="004E6BD9">
      <w:pPr>
        <w:pStyle w:val="Heading1"/>
      </w:pPr>
      <w:r>
        <w:t>ANNEX III</w:t>
      </w:r>
    </w:p>
    <w:p w14:paraId="51D6465E" w14:textId="77777777" w:rsidR="004E6BD9" w:rsidRPr="004E6BD9" w:rsidRDefault="004E6BD9" w:rsidP="004E6BD9"/>
    <w:p w14:paraId="2372FCF0" w14:textId="33385FDA" w:rsidR="004E6BD9" w:rsidRDefault="004E6BD9" w:rsidP="004E6BD9">
      <w:r>
        <w:t>Notes from SLWG Discussions</w:t>
      </w:r>
    </w:p>
    <w:p w14:paraId="4AF78443" w14:textId="0D5E45A7" w:rsidR="004E6BD9" w:rsidRPr="004E6BD9" w:rsidRDefault="004E6BD9" w:rsidP="004E6BD9">
      <w:pPr>
        <w:rPr>
          <w:b/>
          <w:bCs/>
          <w:u w:val="single"/>
        </w:rPr>
      </w:pPr>
      <w:r w:rsidRPr="004E6BD9">
        <w:rPr>
          <w:b/>
          <w:bCs/>
          <w:u w:val="single"/>
        </w:rPr>
        <w:t>Data Sharing</w:t>
      </w:r>
    </w:p>
    <w:p w14:paraId="5E63EEDE" w14:textId="77777777" w:rsidR="004E6BD9" w:rsidRPr="004E6BD9" w:rsidRDefault="004E6BD9" w:rsidP="004E6BD9">
      <w:r w:rsidRPr="004E6BD9">
        <w:rPr>
          <w:b/>
          <w:bCs/>
        </w:rPr>
        <w:t>How to address barriers in relation to organisational sharing of population and personal data, building on the progress made in overcoming such barriers during Covid</w:t>
      </w:r>
    </w:p>
    <w:p w14:paraId="3ACF95FD" w14:textId="77777777" w:rsidR="004E6BD9" w:rsidRPr="004E6BD9" w:rsidRDefault="004E6BD9" w:rsidP="004E6BD9">
      <w:r w:rsidRPr="004E6BD9">
        <w:rPr>
          <w:b/>
          <w:bCs/>
        </w:rPr>
        <w:t>Issues</w:t>
      </w:r>
    </w:p>
    <w:p w14:paraId="48B9CE7F" w14:textId="77777777" w:rsidR="004E6BD9" w:rsidRPr="004E6BD9" w:rsidRDefault="004E6BD9" w:rsidP="004E6BD9">
      <w:pPr>
        <w:numPr>
          <w:ilvl w:val="0"/>
          <w:numId w:val="44"/>
        </w:numPr>
      </w:pPr>
      <w:r w:rsidRPr="004E6BD9">
        <w:rPr>
          <w:b/>
          <w:bCs/>
        </w:rPr>
        <w:t xml:space="preserve">Landscape Complexity: </w:t>
      </w:r>
      <w:r w:rsidRPr="004E6BD9">
        <w:t xml:space="preserve">We need to understand and recognise the complexity of landscape where organisations are subject to different rules and legislation. </w:t>
      </w:r>
    </w:p>
    <w:p w14:paraId="1B33B1D6" w14:textId="77777777" w:rsidR="004E6BD9" w:rsidRPr="004E6BD9" w:rsidRDefault="004E6BD9" w:rsidP="004E6BD9">
      <w:pPr>
        <w:numPr>
          <w:ilvl w:val="0"/>
          <w:numId w:val="44"/>
        </w:numPr>
      </w:pPr>
      <w:r w:rsidRPr="004E6BD9">
        <w:rPr>
          <w:b/>
          <w:bCs/>
        </w:rPr>
        <w:t xml:space="preserve">Technical: </w:t>
      </w:r>
      <w:r w:rsidRPr="004E6BD9">
        <w:t xml:space="preserve">There are a number of different systems and platforms operating in terms of data sharing (across 32 councils and within other organisations).  Third Sector organisations often don’t have secure email addresses (although there is work going on via pilots to address this, e.g. exploration of the use of NHS email addresses). </w:t>
      </w:r>
    </w:p>
    <w:p w14:paraId="293A0E19" w14:textId="77777777" w:rsidR="004E6BD9" w:rsidRPr="004E6BD9" w:rsidRDefault="004E6BD9" w:rsidP="004E6BD9">
      <w:pPr>
        <w:numPr>
          <w:ilvl w:val="0"/>
          <w:numId w:val="44"/>
        </w:numPr>
      </w:pPr>
      <w:r w:rsidRPr="004E6BD9">
        <w:rPr>
          <w:b/>
          <w:bCs/>
        </w:rPr>
        <w:t xml:space="preserve">Behaviour and Culture: </w:t>
      </w:r>
      <w:r w:rsidRPr="004E6BD9">
        <w:t>It is not only system/technical issues, but also an issue of understanding, behaviour and culture, particularly in relation to our approach to legalities.  For example, within LG, there are 32 different legal teams and they often take a cautious approach to risk which creates a barrier to overcome.  There is an opportunity to get in early on this and educate those who are taking the legal decisions in relation to how this works, why this works and what the legality is in relation to what you are allowed to do.  There is also a behavioural element for the wider workforce in terms of whose role it is to share data, and how we shift current thinking to ensure every opportunity counts.</w:t>
      </w:r>
    </w:p>
    <w:p w14:paraId="333BA721" w14:textId="77777777" w:rsidR="004E6BD9" w:rsidRPr="004E6BD9" w:rsidRDefault="004E6BD9" w:rsidP="004E6BD9">
      <w:pPr>
        <w:numPr>
          <w:ilvl w:val="0"/>
          <w:numId w:val="44"/>
        </w:numPr>
      </w:pPr>
      <w:r w:rsidRPr="004E6BD9">
        <w:rPr>
          <w:b/>
          <w:bCs/>
        </w:rPr>
        <w:t xml:space="preserve">Once for Scotland Framework:  </w:t>
      </w:r>
      <w:r w:rsidRPr="004E6BD9">
        <w:t xml:space="preserve">there is no targeted ‘once for Scotland framework’ with a focus on families who are most vulnerable to drive data sharing locally and nationally. </w:t>
      </w:r>
    </w:p>
    <w:p w14:paraId="128772DC" w14:textId="77777777" w:rsidR="004E6BD9" w:rsidRPr="004E6BD9" w:rsidRDefault="004E6BD9" w:rsidP="004E6BD9">
      <w:r w:rsidRPr="004E6BD9">
        <w:rPr>
          <w:b/>
          <w:bCs/>
        </w:rPr>
        <w:t>Current work to address data sharing issues</w:t>
      </w:r>
    </w:p>
    <w:p w14:paraId="714E1B8A" w14:textId="77777777" w:rsidR="004E6BD9" w:rsidRPr="004E6BD9" w:rsidRDefault="004E6BD9" w:rsidP="004E6BD9">
      <w:pPr>
        <w:numPr>
          <w:ilvl w:val="0"/>
          <w:numId w:val="45"/>
        </w:numPr>
      </w:pPr>
      <w:r w:rsidRPr="004E6BD9">
        <w:t>It is Important to ground these in specific examples where we know there are issues, and to explore potential learning in relation to work underway to try and address these.  For example, in relation to Child Poverty, we know there are difficulties in data sharing between Social Security, HMRC &amp; LAs.  Better sharing of data would enable us to more effectively target support to those families who need it. There is work underway to understand the legalities involved, and to develop a legal gateway for data sharing.  This will involve undertaking data protection assessments, and developing business cases and formal proposals for what the data is needed for.  There may be valuable learning and resources emerging from this work (and other similar work) which could have wider applicability.  There is a clear role for us to flesh out more detail around this.</w:t>
      </w:r>
    </w:p>
    <w:p w14:paraId="5C83711F" w14:textId="77777777" w:rsidR="004E6BD9" w:rsidRPr="004E6BD9" w:rsidRDefault="004E6BD9" w:rsidP="004E6BD9">
      <w:r w:rsidRPr="004E6BD9">
        <w:rPr>
          <w:b/>
          <w:bCs/>
        </w:rPr>
        <w:t>Learning from Covid – Overcoming the complexity in the landscape</w:t>
      </w:r>
    </w:p>
    <w:p w14:paraId="399792FF" w14:textId="77777777" w:rsidR="004E6BD9" w:rsidRPr="004E6BD9" w:rsidRDefault="004E6BD9" w:rsidP="004E6BD9">
      <w:pPr>
        <w:numPr>
          <w:ilvl w:val="0"/>
          <w:numId w:val="46"/>
        </w:numPr>
      </w:pPr>
      <w:r w:rsidRPr="004E6BD9">
        <w:t xml:space="preserve">We </w:t>
      </w:r>
      <w:r w:rsidRPr="004E6BD9">
        <w:rPr>
          <w:u w:val="single"/>
        </w:rPr>
        <w:t xml:space="preserve">can be </w:t>
      </w:r>
      <w:r w:rsidRPr="004E6BD9">
        <w:t xml:space="preserve">sharing data, we are just </w:t>
      </w:r>
      <w:r w:rsidRPr="004E6BD9">
        <w:rPr>
          <w:u w:val="single"/>
        </w:rPr>
        <w:t>not doing it</w:t>
      </w:r>
      <w:r w:rsidRPr="004E6BD9">
        <w:t xml:space="preserve">. During Covid, we did take a step to cross boundaries and work around the complexity to allow us to understand risk. We shared data by asking ‘what information do you want?’, and then we created it, and stuck a badge on it to convey the data was indicative. This approach helped to cut across the complexity and showed us that there are ways to navigate this, as long as we don’t let perfect be the enemy of the good or the helpful. </w:t>
      </w:r>
    </w:p>
    <w:p w14:paraId="06EF0739" w14:textId="5886C5E0" w:rsidR="004E6BD9" w:rsidRDefault="004E6BD9" w:rsidP="004E6BD9">
      <w:pPr>
        <w:numPr>
          <w:ilvl w:val="0"/>
          <w:numId w:val="46"/>
        </w:numPr>
      </w:pPr>
      <w:r w:rsidRPr="004E6BD9">
        <w:t xml:space="preserve">If we focus in on ‘what information do we want’ this will help to drive change. There is a role for us to map what data we want in a specific area (e.g. Child Poverty) and then do a ‘deep dive’ analysis of where the difficulties/barriers are in relation to sharing this. We should keep this targeted on one area such as Child Poverty, given everyone will have a Child Poverty Action Plan, and this will enable us to get a good idea of what data is needed, and provides a quick touch point re what’s getting in the way and when. </w:t>
      </w:r>
    </w:p>
    <w:p w14:paraId="45620F8C" w14:textId="77777777" w:rsidR="004E6BD9" w:rsidRPr="004E6BD9" w:rsidRDefault="004E6BD9" w:rsidP="004E6BD9">
      <w:pPr>
        <w:ind w:left="720"/>
      </w:pPr>
    </w:p>
    <w:p w14:paraId="137F942D" w14:textId="32858268" w:rsidR="004E6BD9" w:rsidRPr="004E6BD9" w:rsidRDefault="004E6BD9">
      <w:pPr>
        <w:rPr>
          <w:b/>
          <w:bCs/>
          <w:u w:val="single"/>
        </w:rPr>
      </w:pPr>
      <w:r w:rsidRPr="004E6BD9">
        <w:rPr>
          <w:b/>
          <w:bCs/>
          <w:u w:val="single"/>
        </w:rPr>
        <w:t>Funding issues</w:t>
      </w:r>
    </w:p>
    <w:p w14:paraId="3FAF900E" w14:textId="77777777" w:rsidR="004E6BD9" w:rsidRPr="004E6BD9" w:rsidRDefault="004E6BD9" w:rsidP="004E6BD9">
      <w:r w:rsidRPr="004E6BD9">
        <w:rPr>
          <w:b/>
          <w:bCs/>
        </w:rPr>
        <w:t>How to address the challenges partners face in relation to funding cycles, ringfencing and reporting to different funders with different timescales</w:t>
      </w:r>
    </w:p>
    <w:p w14:paraId="4D3631D7" w14:textId="77777777" w:rsidR="004E6BD9" w:rsidRPr="004E6BD9" w:rsidRDefault="004E6BD9" w:rsidP="004E6BD9">
      <w:pPr>
        <w:numPr>
          <w:ilvl w:val="0"/>
          <w:numId w:val="47"/>
        </w:numPr>
      </w:pPr>
      <w:r w:rsidRPr="004E6BD9">
        <w:rPr>
          <w:b/>
          <w:bCs/>
        </w:rPr>
        <w:t>Complexity of reporting landscape</w:t>
      </w:r>
      <w:r w:rsidRPr="004E6BD9">
        <w:t xml:space="preserve">: Addressing the current funding complexity requires working across different spheres of Government, across different countries. While half of the funding is available from SG, half is accessed through the UK government (i.e. Shared Prosperity Fund).. </w:t>
      </w:r>
    </w:p>
    <w:p w14:paraId="3322ED42" w14:textId="77777777" w:rsidR="004E6BD9" w:rsidRPr="004E6BD9" w:rsidRDefault="004E6BD9" w:rsidP="004E6BD9">
      <w:pPr>
        <w:numPr>
          <w:ilvl w:val="0"/>
          <w:numId w:val="47"/>
        </w:numPr>
      </w:pPr>
      <w:r w:rsidRPr="004E6BD9">
        <w:rPr>
          <w:b/>
          <w:bCs/>
        </w:rPr>
        <w:t>Funding Cycles and Timescales</w:t>
      </w:r>
      <w:r w:rsidRPr="004E6BD9">
        <w:t xml:space="preserve">: Excessively short-term funding, rigid sticking to financial year ends, and excessively restrictive criteria,. There is a need to commit to longer term funding. 3 year funding cycles do not provide sufficient security, and previous longer term funding models from the European Social Fund for example should be adopted.  Progress is also needed to address the sequencing of funds available e.g. Investing Community Fund and Shared Prosperity Fund. </w:t>
      </w:r>
    </w:p>
    <w:p w14:paraId="5DF4C2E2" w14:textId="77777777" w:rsidR="004E6BD9" w:rsidRPr="004E6BD9" w:rsidRDefault="004E6BD9" w:rsidP="004E6BD9">
      <w:pPr>
        <w:numPr>
          <w:ilvl w:val="0"/>
          <w:numId w:val="47"/>
        </w:numPr>
      </w:pPr>
      <w:r w:rsidRPr="004E6BD9">
        <w:rPr>
          <w:b/>
          <w:bCs/>
        </w:rPr>
        <w:t>Funding Cycles</w:t>
      </w:r>
      <w:r w:rsidRPr="004E6BD9">
        <w:t xml:space="preserve">: </w:t>
      </w:r>
      <w:r w:rsidRPr="004E6BD9">
        <w:rPr>
          <w:b/>
          <w:bCs/>
        </w:rPr>
        <w:t>Ring-fencing</w:t>
      </w:r>
      <w:r w:rsidRPr="004E6BD9">
        <w:t xml:space="preserve">:  Progress is needed to reduce the level of funding which is ring-fenced and to give local areas greater flexibility and choice in relation to how to target this resource to meet areas of greatest vulnerability.  Currently local partnerships face significant challenges and expend valuable resource accessing and tying together a large number of often relatively small pots of money.  A shift away from this approach is critical to support local empowerment and decision making.  It may be helpful to strengthen the evidence base in relation to the impacts of ringfencing, and identify tangible examples to illustrate where the impact has not been helpful. </w:t>
      </w:r>
    </w:p>
    <w:p w14:paraId="11E54400" w14:textId="77777777" w:rsidR="004E6BD9" w:rsidRPr="004E6BD9" w:rsidRDefault="004E6BD9" w:rsidP="004E6BD9">
      <w:pPr>
        <w:numPr>
          <w:ilvl w:val="0"/>
          <w:numId w:val="47"/>
        </w:numPr>
      </w:pPr>
      <w:r w:rsidRPr="004E6BD9">
        <w:t>However, a specific ring-fenced fund is often a way for the third sector to access statutory funding. For example, a number of third sector organisations in Mid received funding for short-term employability projects because the Council had to spend funding in a tight timescale and on a specific issue. If the funding had been given to the LA to spend as it thought fit, there is nothing to say they would have brought the third sector in. If we are to move on from ring-fenced funding, it needs to be open and transparent, and statutory funding needs to be available at a local level to third sector organisations addressing poverty.</w:t>
      </w:r>
    </w:p>
    <w:p w14:paraId="236E7D0F" w14:textId="77777777" w:rsidR="004E6BD9" w:rsidRPr="004E6BD9" w:rsidRDefault="004E6BD9" w:rsidP="004E6BD9">
      <w:pPr>
        <w:numPr>
          <w:ilvl w:val="0"/>
          <w:numId w:val="47"/>
        </w:numPr>
      </w:pPr>
      <w:r w:rsidRPr="004E6BD9">
        <w:rPr>
          <w:b/>
          <w:bCs/>
        </w:rPr>
        <w:t>Lack of strategic oversight</w:t>
      </w:r>
      <w:r w:rsidRPr="004E6BD9">
        <w:t xml:space="preserve">: There is no strategic oversight in relation to the way money is currently spent on poverty related work and whether it is making a difference. It was suggested that colleagues in SG may have undertaken a mapping on the funding spent on poverty related work, and it was agreed it would be helpful to investigate this in the first instance, to avoid any potential duplication. </w:t>
      </w:r>
    </w:p>
    <w:p w14:paraId="60C05FBF" w14:textId="77777777" w:rsidR="004E6BD9" w:rsidRPr="004E6BD9" w:rsidRDefault="004E6BD9" w:rsidP="004E6BD9">
      <w:pPr>
        <w:numPr>
          <w:ilvl w:val="0"/>
          <w:numId w:val="47"/>
        </w:numPr>
      </w:pPr>
      <w:r w:rsidRPr="004E6BD9">
        <w:rPr>
          <w:b/>
          <w:bCs/>
        </w:rPr>
        <w:t xml:space="preserve">Evidence of impact: </w:t>
      </w:r>
      <w:r w:rsidRPr="004E6BD9">
        <w:t>Greater commitment is needed across funding streams to fund those areas where there is evidence of impact, rather than the ‘nice to do’.  This requires improvement in our collective approach to evidencing impact, including structures around performance management/outcome setting/ and measurement to understand how we commit the money in ways that ensure it goes to best effect</w:t>
      </w:r>
    </w:p>
    <w:p w14:paraId="46E8AAF8" w14:textId="356428C0" w:rsidR="004E6BD9" w:rsidRDefault="004E6BD9" w:rsidP="004E6BD9">
      <w:pPr>
        <w:numPr>
          <w:ilvl w:val="0"/>
          <w:numId w:val="47"/>
        </w:numPr>
      </w:pPr>
      <w:r w:rsidRPr="004E6BD9">
        <w:rPr>
          <w:b/>
          <w:bCs/>
        </w:rPr>
        <w:t>How the funding is used</w:t>
      </w:r>
      <w:r w:rsidRPr="004E6BD9">
        <w:t>: Greater focus is needed on what we do with the funding and how we respond.</w:t>
      </w:r>
    </w:p>
    <w:p w14:paraId="5E7C1036" w14:textId="5DFB3A49" w:rsidR="004E6BD9" w:rsidRDefault="004E6BD9" w:rsidP="004E6BD9">
      <w:pPr>
        <w:ind w:left="720"/>
      </w:pPr>
    </w:p>
    <w:p w14:paraId="09F7E6DA" w14:textId="065FF4FE" w:rsidR="004E6BD9" w:rsidRDefault="004E6BD9" w:rsidP="004E6BD9">
      <w:pPr>
        <w:ind w:left="720"/>
      </w:pPr>
    </w:p>
    <w:p w14:paraId="2A4665CD" w14:textId="69BC45C8" w:rsidR="004E6BD9" w:rsidRDefault="004E6BD9" w:rsidP="004E6BD9">
      <w:pPr>
        <w:ind w:left="720"/>
      </w:pPr>
    </w:p>
    <w:p w14:paraId="76CE0177" w14:textId="77777777" w:rsidR="004E6BD9" w:rsidRDefault="004E6BD9" w:rsidP="004E6BD9">
      <w:pPr>
        <w:ind w:left="720"/>
      </w:pPr>
    </w:p>
    <w:p w14:paraId="59C68B5E" w14:textId="38DE0883" w:rsidR="004E6BD9" w:rsidRPr="004E6BD9" w:rsidRDefault="004E6BD9">
      <w:pPr>
        <w:rPr>
          <w:b/>
          <w:bCs/>
          <w:u w:val="single"/>
        </w:rPr>
      </w:pPr>
      <w:r w:rsidRPr="004E6BD9">
        <w:rPr>
          <w:b/>
          <w:bCs/>
          <w:u w:val="single"/>
        </w:rPr>
        <w:t>Reporting &amp; Governance</w:t>
      </w:r>
    </w:p>
    <w:p w14:paraId="21F915B6" w14:textId="77777777" w:rsidR="004E6BD9" w:rsidRPr="004E6BD9" w:rsidRDefault="004E6BD9" w:rsidP="004E6BD9">
      <w:r w:rsidRPr="004E6BD9">
        <w:rPr>
          <w:b/>
          <w:bCs/>
        </w:rPr>
        <w:t>How to reduce the complexity of recording, reporting, and inspection frameworks which create both a burden and lack of clarity in relation to shared outcomes and priorities</w:t>
      </w:r>
    </w:p>
    <w:p w14:paraId="6BC29D4A" w14:textId="77777777" w:rsidR="004E6BD9" w:rsidRPr="004E6BD9" w:rsidRDefault="004E6BD9" w:rsidP="004E6BD9">
      <w:pPr>
        <w:numPr>
          <w:ilvl w:val="0"/>
          <w:numId w:val="48"/>
        </w:numPr>
      </w:pPr>
      <w:r w:rsidRPr="004E6BD9">
        <w:rPr>
          <w:b/>
          <w:bCs/>
        </w:rPr>
        <w:t xml:space="preserve">Cluttered landscape: </w:t>
      </w:r>
      <w:r w:rsidRPr="004E6BD9">
        <w:t>Partners are facing a multiplicity of complex macro-economic issues and emerging policy agendas at the same time currently, and this is reflected in the increasingly cluttered landscape in relation to recording, reporting and inspection which has grown up around this. For example: LOIPS; Locality Plans; Children's Service Plans; Child Poverty Action Plans; The Promise – all have different mechanisms and different reporting requirements which risk overlap and duplication.  This creates challenges both in terms of finite capacity of partners, but also makes it harder to work together towards shared outcomes and priorities.  It was agreed that to better understand and to evidence the specific issues, there would be value in the group mapping the policy reporting frameworks which currently exist in relation to Financial Security for Low Income Households and identify which are the ones causing blockages.</w:t>
      </w:r>
    </w:p>
    <w:p w14:paraId="2419063D" w14:textId="77777777" w:rsidR="004E6BD9" w:rsidRPr="004E6BD9" w:rsidRDefault="004E6BD9" w:rsidP="004E6BD9">
      <w:pPr>
        <w:numPr>
          <w:ilvl w:val="0"/>
          <w:numId w:val="48"/>
        </w:numPr>
      </w:pPr>
      <w:r w:rsidRPr="004E6BD9">
        <w:rPr>
          <w:b/>
          <w:bCs/>
        </w:rPr>
        <w:t xml:space="preserve">Previous work to ‘declutter the landscape’: </w:t>
      </w:r>
      <w:r w:rsidRPr="004E6BD9">
        <w:t xml:space="preserve">There should be opportunities to learn from and build on previous work undertaken by PSRB and CPIB (under title of OEPB) to map the cluttered performance reporting landscape and produce recommendations for improvement in relation to performance management arrangements. It was agreed it would be helpful to look at these recommendations in the context of </w:t>
      </w:r>
      <w:r w:rsidRPr="004E6BD9">
        <w:rPr>
          <w:u w:val="single"/>
        </w:rPr>
        <w:t xml:space="preserve">financial security </w:t>
      </w:r>
      <w:r w:rsidRPr="004E6BD9">
        <w:t>and to modernise and update the recommendations in light of the challenges in this area.   There was agreement of the need to guard against the ‘one size fits all’ approach, maintaining a focus on relevance, and ensuring decluttering doesn’t lead to approaches becoming so generalised they are meaningless.</w:t>
      </w:r>
    </w:p>
    <w:p w14:paraId="6F110A6E" w14:textId="77777777" w:rsidR="004E6BD9" w:rsidRPr="004E6BD9" w:rsidRDefault="00722218" w:rsidP="004E6BD9">
      <w:pPr>
        <w:numPr>
          <w:ilvl w:val="1"/>
          <w:numId w:val="48"/>
        </w:numPr>
      </w:pPr>
      <w:hyperlink r:id="rId18" w:history="1">
        <w:r w:rsidR="004E6BD9" w:rsidRPr="004E6BD9">
          <w:rPr>
            <w:rStyle w:val="Hyperlink"/>
          </w:rPr>
          <w:t xml:space="preserve">CPIB Performance Management Good Practice Principles </w:t>
        </w:r>
      </w:hyperlink>
    </w:p>
    <w:p w14:paraId="7BCA079B" w14:textId="77777777" w:rsidR="004E6BD9" w:rsidRPr="004E6BD9" w:rsidRDefault="00722218" w:rsidP="004E6BD9">
      <w:pPr>
        <w:numPr>
          <w:ilvl w:val="1"/>
          <w:numId w:val="48"/>
        </w:numPr>
      </w:pPr>
      <w:hyperlink r:id="rId19" w:history="1">
        <w:r w:rsidR="004E6BD9" w:rsidRPr="004E6BD9">
          <w:rPr>
            <w:rStyle w:val="Hyperlink"/>
          </w:rPr>
          <w:t xml:space="preserve">CPIB Paper on Performance Management Recommendations </w:t>
        </w:r>
      </w:hyperlink>
      <w:r w:rsidR="004E6BD9" w:rsidRPr="004E6BD9">
        <w:t xml:space="preserve">– including more  detail such as recommendations for Scottish Government </w:t>
      </w:r>
    </w:p>
    <w:p w14:paraId="1092CA03" w14:textId="77777777" w:rsidR="004E6BD9" w:rsidRPr="004E6BD9" w:rsidRDefault="00722218" w:rsidP="004E6BD9">
      <w:pPr>
        <w:numPr>
          <w:ilvl w:val="1"/>
          <w:numId w:val="48"/>
        </w:numPr>
      </w:pPr>
      <w:hyperlink r:id="rId20" w:history="1">
        <w:r w:rsidR="004E6BD9" w:rsidRPr="004E6BD9">
          <w:rPr>
            <w:rStyle w:val="Hyperlink"/>
          </w:rPr>
          <w:t>Findings from previous PSRB and OEPB work to declutter the landscape</w:t>
        </w:r>
      </w:hyperlink>
    </w:p>
    <w:p w14:paraId="6A5C7C93" w14:textId="77777777" w:rsidR="004E6BD9" w:rsidRPr="004E6BD9" w:rsidRDefault="004E6BD9" w:rsidP="004E6BD9">
      <w:pPr>
        <w:numPr>
          <w:ilvl w:val="0"/>
          <w:numId w:val="48"/>
        </w:numPr>
      </w:pPr>
      <w:r w:rsidRPr="004E6BD9">
        <w:rPr>
          <w:b/>
          <w:bCs/>
        </w:rPr>
        <w:t xml:space="preserve">Understanding Impact:  </w:t>
      </w:r>
      <w:r w:rsidRPr="004E6BD9">
        <w:t xml:space="preserve">While we have not ‘solved’ poverty, it is vital that recording and reporting activity helps us understand if and where we have added value, for example in terms of preventative impact. There may be value in considering a shared outcome framework for anti-poverty work, aligned to Shared Prosperity fund, which would tell us if we are making a difference in the world of poverty. There may be potential learning from an Evaluation Scotland project which identified outcomes and indicators that worked for older people’s services and gave people a suite to choose from. </w:t>
      </w:r>
      <w:hyperlink r:id="rId21" w:history="1">
        <w:r w:rsidRPr="004E6BD9">
          <w:rPr>
            <w:rStyle w:val="Hyperlink"/>
          </w:rPr>
          <w:t>https://evaluationsupportscotland.org.uk/resources/sit-indicator-bank-for-third-sector-outcomes-for-older-people/</w:t>
        </w:r>
      </w:hyperlink>
    </w:p>
    <w:p w14:paraId="79240909" w14:textId="77777777" w:rsidR="004E6BD9" w:rsidRPr="004E6BD9" w:rsidRDefault="004E6BD9" w:rsidP="004E6BD9">
      <w:pPr>
        <w:numPr>
          <w:ilvl w:val="0"/>
          <w:numId w:val="48"/>
        </w:numPr>
      </w:pPr>
      <w:r w:rsidRPr="004E6BD9">
        <w:rPr>
          <w:b/>
          <w:bCs/>
        </w:rPr>
        <w:t>Skills/capacity</w:t>
      </w:r>
      <w:r w:rsidRPr="004E6BD9">
        <w:t>: Focus is needed to address skills and capacity issues for partners and partnerships to support their approach to recording, reporting, and managing performance.  For example, training on developing and using outcomes/measures and exploring areas there may be value in developing a central approach, rather than individual approaches across 32 areas</w:t>
      </w:r>
    </w:p>
    <w:p w14:paraId="38F9665A" w14:textId="521F4C3B" w:rsidR="004E6BD9" w:rsidRDefault="004E6BD9"/>
    <w:p w14:paraId="15BC42EF" w14:textId="687B8850" w:rsidR="004E6BD9" w:rsidRDefault="004E6BD9"/>
    <w:p w14:paraId="66295740" w14:textId="5B052B8F" w:rsidR="004E6BD9" w:rsidRDefault="004E6BD9"/>
    <w:p w14:paraId="7064E9B5" w14:textId="6A66C002" w:rsidR="004E6BD9" w:rsidRDefault="004E6BD9"/>
    <w:p w14:paraId="02E1054A" w14:textId="0D94A554" w:rsidR="004E6BD9" w:rsidRDefault="004E6BD9"/>
    <w:p w14:paraId="1A9738E6" w14:textId="366E8E92" w:rsidR="004E6BD9" w:rsidRDefault="004E6BD9"/>
    <w:tbl>
      <w:tblPr>
        <w:tblW w:w="5000" w:type="pct"/>
        <w:tblCellMar>
          <w:left w:w="0" w:type="dxa"/>
          <w:right w:w="0" w:type="dxa"/>
        </w:tblCellMar>
        <w:tblLook w:val="0420" w:firstRow="1" w:lastRow="0" w:firstColumn="0" w:lastColumn="0" w:noHBand="0" w:noVBand="1"/>
      </w:tblPr>
      <w:tblGrid>
        <w:gridCol w:w="2481"/>
        <w:gridCol w:w="7363"/>
      </w:tblGrid>
      <w:tr w:rsidR="004E6BD9" w:rsidRPr="004E6BD9" w14:paraId="780A4E93" w14:textId="77777777" w:rsidTr="004E6BD9">
        <w:trPr>
          <w:trHeight w:val="976"/>
        </w:trPr>
        <w:tc>
          <w:tcPr>
            <w:tcW w:w="1260" w:type="pct"/>
            <w:tcBorders>
              <w:top w:val="single" w:sz="8" w:space="0" w:color="ED7D31"/>
              <w:left w:val="single" w:sz="8" w:space="0" w:color="ED7D31"/>
              <w:bottom w:val="single" w:sz="8" w:space="0" w:color="000000"/>
              <w:right w:val="single" w:sz="8" w:space="0" w:color="000000"/>
            </w:tcBorders>
            <w:shd w:val="clear" w:color="auto" w:fill="ED7D31"/>
            <w:tcMar>
              <w:top w:w="15" w:type="dxa"/>
              <w:left w:w="108" w:type="dxa"/>
              <w:bottom w:w="0" w:type="dxa"/>
              <w:right w:w="108" w:type="dxa"/>
            </w:tcMar>
            <w:vAlign w:val="center"/>
            <w:hideMark/>
          </w:tcPr>
          <w:p w14:paraId="3E6DBD04" w14:textId="77777777" w:rsidR="004E6BD9" w:rsidRPr="004E6BD9" w:rsidRDefault="004E6BD9" w:rsidP="004E6BD9">
            <w:r w:rsidRPr="004E6BD9">
              <w:rPr>
                <w:b/>
                <w:bCs/>
              </w:rPr>
              <w:t>Barriers we focussed on</w:t>
            </w:r>
          </w:p>
        </w:tc>
        <w:tc>
          <w:tcPr>
            <w:tcW w:w="3740" w:type="pct"/>
            <w:tcBorders>
              <w:top w:val="single" w:sz="8" w:space="0" w:color="ED7D31"/>
              <w:left w:val="single" w:sz="8" w:space="0" w:color="000000"/>
              <w:bottom w:val="single" w:sz="8" w:space="0" w:color="000000"/>
              <w:right w:val="single" w:sz="8" w:space="0" w:color="000000"/>
            </w:tcBorders>
            <w:shd w:val="clear" w:color="auto" w:fill="ED7D31"/>
            <w:tcMar>
              <w:top w:w="15" w:type="dxa"/>
              <w:left w:w="108" w:type="dxa"/>
              <w:bottom w:w="0" w:type="dxa"/>
              <w:right w:w="108" w:type="dxa"/>
            </w:tcMar>
            <w:vAlign w:val="center"/>
            <w:hideMark/>
          </w:tcPr>
          <w:p w14:paraId="12F910E8" w14:textId="77777777" w:rsidR="004E6BD9" w:rsidRPr="004E6BD9" w:rsidRDefault="004E6BD9" w:rsidP="004E6BD9">
            <w:r w:rsidRPr="004E6BD9">
              <w:rPr>
                <w:b/>
                <w:bCs/>
              </w:rPr>
              <w:t>The solutions we have opted for</w:t>
            </w:r>
          </w:p>
        </w:tc>
      </w:tr>
      <w:tr w:rsidR="004E6BD9" w:rsidRPr="004E6BD9" w14:paraId="4F50ECBC" w14:textId="77777777" w:rsidTr="004E6BD9">
        <w:trPr>
          <w:trHeight w:val="3962"/>
        </w:trPr>
        <w:tc>
          <w:tcPr>
            <w:tcW w:w="1260" w:type="pct"/>
            <w:tcBorders>
              <w:top w:val="single" w:sz="8" w:space="0" w:color="000000"/>
              <w:left w:val="single" w:sz="8" w:space="0" w:color="ED7D31"/>
              <w:bottom w:val="single" w:sz="8" w:space="0" w:color="000000"/>
              <w:right w:val="single" w:sz="8" w:space="0" w:color="000000"/>
            </w:tcBorders>
            <w:shd w:val="clear" w:color="auto" w:fill="FCECE8"/>
            <w:tcMar>
              <w:top w:w="15" w:type="dxa"/>
              <w:left w:w="108" w:type="dxa"/>
              <w:bottom w:w="0" w:type="dxa"/>
              <w:right w:w="108" w:type="dxa"/>
            </w:tcMar>
            <w:hideMark/>
          </w:tcPr>
          <w:p w14:paraId="3E754361" w14:textId="77777777" w:rsidR="004E6BD9" w:rsidRPr="004E6BD9" w:rsidRDefault="004E6BD9" w:rsidP="004E6BD9">
            <w:r w:rsidRPr="004E6BD9">
              <w:rPr>
                <w:b/>
                <w:bCs/>
              </w:rPr>
              <w:t xml:space="preserve">Data sharing </w:t>
            </w:r>
          </w:p>
          <w:p w14:paraId="33A6C252" w14:textId="77777777" w:rsidR="004E6BD9" w:rsidRPr="004E6BD9" w:rsidRDefault="004E6BD9" w:rsidP="004E6BD9">
            <w:r w:rsidRPr="004E6BD9">
              <w:rPr>
                <w:b/>
                <w:bCs/>
              </w:rPr>
              <w:t>How to address barriers in relation to organisational sharing of population and personal data, building on progress made in overcoming such barriers during Covid</w:t>
            </w:r>
          </w:p>
        </w:tc>
        <w:tc>
          <w:tcPr>
            <w:tcW w:w="3740" w:type="pct"/>
            <w:tcBorders>
              <w:top w:val="single" w:sz="8" w:space="0" w:color="000000"/>
              <w:left w:val="single" w:sz="8" w:space="0" w:color="000000"/>
              <w:bottom w:val="single" w:sz="8" w:space="0" w:color="000000"/>
              <w:right w:val="single" w:sz="8" w:space="0" w:color="000000"/>
            </w:tcBorders>
            <w:shd w:val="clear" w:color="auto" w:fill="FCECE8"/>
            <w:tcMar>
              <w:top w:w="15" w:type="dxa"/>
              <w:left w:w="108" w:type="dxa"/>
              <w:bottom w:w="0" w:type="dxa"/>
              <w:right w:w="108" w:type="dxa"/>
            </w:tcMar>
            <w:hideMark/>
          </w:tcPr>
          <w:p w14:paraId="1F7994B7" w14:textId="77777777" w:rsidR="004E6BD9" w:rsidRPr="004E6BD9" w:rsidRDefault="004E6BD9" w:rsidP="004E6BD9">
            <w:r w:rsidRPr="004E6BD9">
              <w:rPr>
                <w:b/>
                <w:bCs/>
              </w:rPr>
              <w:t>Agreed Actions:</w:t>
            </w:r>
          </w:p>
          <w:p w14:paraId="164AEA8E" w14:textId="77777777" w:rsidR="004E6BD9" w:rsidRPr="004E6BD9" w:rsidRDefault="004E6BD9" w:rsidP="004E6BD9">
            <w:pPr>
              <w:numPr>
                <w:ilvl w:val="0"/>
                <w:numId w:val="49"/>
              </w:numPr>
            </w:pPr>
            <w:r w:rsidRPr="004E6BD9">
              <w:rPr>
                <w:b/>
                <w:bCs/>
              </w:rPr>
              <w:t xml:space="preserve">Group members to map </w:t>
            </w:r>
            <w:r w:rsidRPr="004E6BD9">
              <w:rPr>
                <w:b/>
                <w:bCs/>
                <w:u w:val="single"/>
              </w:rPr>
              <w:t xml:space="preserve">what data we want </w:t>
            </w:r>
            <w:r w:rsidRPr="004E6BD9">
              <w:rPr>
                <w:b/>
                <w:bCs/>
              </w:rPr>
              <w:t>in relation to Child Poverty, and provide detail on where the barriers exist in relation to the sharing of this data between partners.</w:t>
            </w:r>
          </w:p>
          <w:p w14:paraId="5314F44B" w14:textId="77777777" w:rsidR="004E6BD9" w:rsidRPr="004E6BD9" w:rsidRDefault="004E6BD9" w:rsidP="004E6BD9">
            <w:pPr>
              <w:numPr>
                <w:ilvl w:val="0"/>
                <w:numId w:val="49"/>
              </w:numPr>
            </w:pPr>
            <w:r w:rsidRPr="004E6BD9">
              <w:rPr>
                <w:b/>
                <w:bCs/>
              </w:rPr>
              <w:t>Group members to share details of where there is work already happening to facilitate data sharing and where there may be opportunities for wider applicability, e.g.</w:t>
            </w:r>
          </w:p>
          <w:p w14:paraId="65ECCF9D" w14:textId="77777777" w:rsidR="004E6BD9" w:rsidRPr="004E6BD9" w:rsidRDefault="004E6BD9" w:rsidP="004E6BD9">
            <w:pPr>
              <w:numPr>
                <w:ilvl w:val="1"/>
                <w:numId w:val="49"/>
              </w:numPr>
            </w:pPr>
            <w:r w:rsidRPr="004E6BD9">
              <w:rPr>
                <w:b/>
                <w:bCs/>
              </w:rPr>
              <w:t>What work is happening currently to facilitate data sharing in the area of financial security?</w:t>
            </w:r>
          </w:p>
          <w:p w14:paraId="48E5A93B" w14:textId="77777777" w:rsidR="004E6BD9" w:rsidRPr="004E6BD9" w:rsidRDefault="004E6BD9" w:rsidP="004E6BD9">
            <w:pPr>
              <w:numPr>
                <w:ilvl w:val="1"/>
                <w:numId w:val="49"/>
              </w:numPr>
            </w:pPr>
            <w:r w:rsidRPr="004E6BD9">
              <w:rPr>
                <w:b/>
                <w:bCs/>
              </w:rPr>
              <w:t>What challenges is this work trying to address? (e.g. Legalities; Behavioural; Technical; etc..)</w:t>
            </w:r>
          </w:p>
          <w:p w14:paraId="2D9A0531" w14:textId="77777777" w:rsidR="004E6BD9" w:rsidRPr="004E6BD9" w:rsidRDefault="004E6BD9" w:rsidP="004E6BD9">
            <w:pPr>
              <w:numPr>
                <w:ilvl w:val="1"/>
                <w:numId w:val="49"/>
              </w:numPr>
            </w:pPr>
            <w:r w:rsidRPr="004E6BD9">
              <w:rPr>
                <w:b/>
                <w:bCs/>
              </w:rPr>
              <w:t>What methods/approaches/templates are being deployed?</w:t>
            </w:r>
          </w:p>
          <w:p w14:paraId="08C5EA97" w14:textId="77777777" w:rsidR="004E6BD9" w:rsidRPr="004E6BD9" w:rsidRDefault="004E6BD9" w:rsidP="004E6BD9">
            <w:pPr>
              <w:numPr>
                <w:ilvl w:val="1"/>
                <w:numId w:val="49"/>
              </w:numPr>
            </w:pPr>
            <w:r w:rsidRPr="004E6BD9">
              <w:rPr>
                <w:b/>
                <w:bCs/>
              </w:rPr>
              <w:t>Is there an opportunity to draw upon this to develop prototypes/wider learning?</w:t>
            </w:r>
          </w:p>
          <w:p w14:paraId="2BC568C4" w14:textId="77777777" w:rsidR="004E6BD9" w:rsidRPr="004E6BD9" w:rsidRDefault="004E6BD9" w:rsidP="004E6BD9">
            <w:pPr>
              <w:numPr>
                <w:ilvl w:val="1"/>
                <w:numId w:val="49"/>
              </w:numPr>
            </w:pPr>
            <w:r w:rsidRPr="004E6BD9">
              <w:rPr>
                <w:b/>
                <w:bCs/>
              </w:rPr>
              <w:t>Are there gaps where focussed work to address the barriers is needed, and not currently happening?</w:t>
            </w:r>
          </w:p>
        </w:tc>
      </w:tr>
      <w:tr w:rsidR="004E6BD9" w:rsidRPr="004E6BD9" w14:paraId="3B1148E3" w14:textId="77777777" w:rsidTr="004E6BD9">
        <w:trPr>
          <w:trHeight w:val="1015"/>
        </w:trPr>
        <w:tc>
          <w:tcPr>
            <w:tcW w:w="1260" w:type="pct"/>
            <w:tcBorders>
              <w:top w:val="single" w:sz="8" w:space="0" w:color="000000"/>
              <w:left w:val="single" w:sz="8" w:space="0" w:color="ED7D31"/>
              <w:bottom w:val="single" w:sz="8" w:space="0" w:color="000000"/>
              <w:right w:val="single" w:sz="8" w:space="0" w:color="000000"/>
            </w:tcBorders>
            <w:shd w:val="clear" w:color="auto" w:fill="FFFFFF"/>
            <w:tcMar>
              <w:top w:w="15" w:type="dxa"/>
              <w:left w:w="108" w:type="dxa"/>
              <w:bottom w:w="0" w:type="dxa"/>
              <w:right w:w="108" w:type="dxa"/>
            </w:tcMar>
            <w:hideMark/>
          </w:tcPr>
          <w:p w14:paraId="6E96D7B6" w14:textId="77777777" w:rsidR="004E6BD9" w:rsidRPr="004E6BD9" w:rsidRDefault="004E6BD9" w:rsidP="004E6BD9">
            <w:r w:rsidRPr="004E6BD9">
              <w:t> </w:t>
            </w:r>
          </w:p>
          <w:p w14:paraId="2BDE6524" w14:textId="77777777" w:rsidR="004E6BD9" w:rsidRPr="004E6BD9" w:rsidRDefault="004E6BD9" w:rsidP="004E6BD9">
            <w:r w:rsidRPr="004E6BD9">
              <w:rPr>
                <w:b/>
                <w:bCs/>
              </w:rPr>
              <w:t>Funding barriers</w:t>
            </w:r>
          </w:p>
          <w:p w14:paraId="0DDAF205" w14:textId="77777777" w:rsidR="004E6BD9" w:rsidRPr="004E6BD9" w:rsidRDefault="004E6BD9" w:rsidP="004E6BD9">
            <w:r w:rsidRPr="004E6BD9">
              <w:rPr>
                <w:b/>
                <w:bCs/>
              </w:rPr>
              <w:t>How to address the challenges partners face in relation to funding cycles, ringfencing and reporting to different funders with different timescales</w:t>
            </w:r>
          </w:p>
        </w:tc>
        <w:tc>
          <w:tcPr>
            <w:tcW w:w="374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2383586D" w14:textId="77777777" w:rsidR="004E6BD9" w:rsidRPr="004E6BD9" w:rsidRDefault="004E6BD9" w:rsidP="004E6BD9">
            <w:r w:rsidRPr="004E6BD9">
              <w:rPr>
                <w:b/>
                <w:bCs/>
              </w:rPr>
              <w:t>Agreed Actions:</w:t>
            </w:r>
          </w:p>
          <w:p w14:paraId="00E40054" w14:textId="77777777" w:rsidR="004E6BD9" w:rsidRPr="004E6BD9" w:rsidRDefault="004E6BD9" w:rsidP="004E6BD9">
            <w:pPr>
              <w:numPr>
                <w:ilvl w:val="0"/>
                <w:numId w:val="50"/>
              </w:numPr>
            </w:pPr>
            <w:r w:rsidRPr="004E6BD9">
              <w:rPr>
                <w:b/>
                <w:bCs/>
              </w:rPr>
              <w:t>COSLA to investigate whether SG has undertaken any mapping to understand funding spent on poverty related work.</w:t>
            </w:r>
          </w:p>
          <w:p w14:paraId="45ED48DE" w14:textId="77777777" w:rsidR="004E6BD9" w:rsidRPr="004E6BD9" w:rsidRDefault="004E6BD9" w:rsidP="004E6BD9">
            <w:pPr>
              <w:numPr>
                <w:ilvl w:val="0"/>
                <w:numId w:val="50"/>
              </w:numPr>
            </w:pPr>
            <w:r w:rsidRPr="004E6BD9">
              <w:rPr>
                <w:b/>
                <w:bCs/>
              </w:rPr>
              <w:t>Group members to identify any examples in relation to the area of financial security where ring fencing has created challenges/had a negative impact</w:t>
            </w:r>
          </w:p>
        </w:tc>
      </w:tr>
      <w:tr w:rsidR="004E6BD9" w:rsidRPr="004E6BD9" w14:paraId="5C6F7C14" w14:textId="77777777" w:rsidTr="004E6BD9">
        <w:trPr>
          <w:trHeight w:val="3045"/>
        </w:trPr>
        <w:tc>
          <w:tcPr>
            <w:tcW w:w="1260" w:type="pct"/>
            <w:tcBorders>
              <w:top w:val="single" w:sz="8" w:space="0" w:color="000000"/>
              <w:left w:val="single" w:sz="8" w:space="0" w:color="ED7D31"/>
              <w:bottom w:val="single" w:sz="8" w:space="0" w:color="000000"/>
              <w:right w:val="single" w:sz="8" w:space="0" w:color="000000"/>
            </w:tcBorders>
            <w:shd w:val="clear" w:color="auto" w:fill="FCECE8"/>
            <w:tcMar>
              <w:top w:w="15" w:type="dxa"/>
              <w:left w:w="108" w:type="dxa"/>
              <w:bottom w:w="0" w:type="dxa"/>
              <w:right w:w="108" w:type="dxa"/>
            </w:tcMar>
            <w:hideMark/>
          </w:tcPr>
          <w:p w14:paraId="21260269" w14:textId="77777777" w:rsidR="004E6BD9" w:rsidRPr="004E6BD9" w:rsidRDefault="004E6BD9" w:rsidP="004E6BD9">
            <w:r w:rsidRPr="004E6BD9">
              <w:rPr>
                <w:b/>
                <w:bCs/>
              </w:rPr>
              <w:t>Reporting and governance</w:t>
            </w:r>
          </w:p>
          <w:p w14:paraId="4A3736BC" w14:textId="77777777" w:rsidR="004E6BD9" w:rsidRPr="004E6BD9" w:rsidRDefault="004E6BD9" w:rsidP="004E6BD9">
            <w:r w:rsidRPr="004E6BD9">
              <w:rPr>
                <w:b/>
                <w:bCs/>
              </w:rPr>
              <w:t>How to reduce the complexity of recording, reporting, and inspection frameworks which create both a burden and lack of clarity in relation to shared outcomes and priorities</w:t>
            </w:r>
          </w:p>
        </w:tc>
        <w:tc>
          <w:tcPr>
            <w:tcW w:w="3740" w:type="pct"/>
            <w:tcBorders>
              <w:top w:val="single" w:sz="8" w:space="0" w:color="000000"/>
              <w:left w:val="single" w:sz="8" w:space="0" w:color="000000"/>
              <w:bottom w:val="single" w:sz="8" w:space="0" w:color="000000"/>
              <w:right w:val="single" w:sz="8" w:space="0" w:color="000000"/>
            </w:tcBorders>
            <w:shd w:val="clear" w:color="auto" w:fill="FCECE8"/>
            <w:tcMar>
              <w:top w:w="15" w:type="dxa"/>
              <w:left w:w="108" w:type="dxa"/>
              <w:bottom w:w="0" w:type="dxa"/>
              <w:right w:w="108" w:type="dxa"/>
            </w:tcMar>
            <w:hideMark/>
          </w:tcPr>
          <w:p w14:paraId="433B93CD" w14:textId="77777777" w:rsidR="004E6BD9" w:rsidRPr="004E6BD9" w:rsidRDefault="004E6BD9" w:rsidP="004E6BD9">
            <w:r w:rsidRPr="004E6BD9">
              <w:rPr>
                <w:b/>
                <w:bCs/>
              </w:rPr>
              <w:t>Agreed Actions:</w:t>
            </w:r>
          </w:p>
          <w:p w14:paraId="5FA20094" w14:textId="77777777" w:rsidR="004E6BD9" w:rsidRPr="004E6BD9" w:rsidRDefault="004E6BD9" w:rsidP="004E6BD9">
            <w:pPr>
              <w:numPr>
                <w:ilvl w:val="0"/>
                <w:numId w:val="51"/>
              </w:numPr>
            </w:pPr>
            <w:r w:rsidRPr="004E6BD9">
              <w:rPr>
                <w:b/>
                <w:bCs/>
              </w:rPr>
              <w:t>Group members to map the national policy reporting frameworks which currently exist in relation to Financial Security in general and/or child poverty (as an example of financial security) and identify which are the ones causing blockages</w:t>
            </w:r>
          </w:p>
          <w:p w14:paraId="64FD1730" w14:textId="77777777" w:rsidR="004E6BD9" w:rsidRPr="004E6BD9" w:rsidRDefault="004E6BD9" w:rsidP="004E6BD9">
            <w:pPr>
              <w:numPr>
                <w:ilvl w:val="0"/>
                <w:numId w:val="51"/>
              </w:numPr>
            </w:pPr>
            <w:r w:rsidRPr="004E6BD9">
              <w:rPr>
                <w:b/>
                <w:bCs/>
              </w:rPr>
              <w:t xml:space="preserve">Group members to revisit and update elements from previous Performance Management Recommendations in the context of Financial Security for Low Income Households </w:t>
            </w:r>
          </w:p>
        </w:tc>
      </w:tr>
    </w:tbl>
    <w:p w14:paraId="7EFED1EB" w14:textId="77777777" w:rsidR="004E6BD9" w:rsidRDefault="004E6BD9"/>
    <w:sectPr w:rsidR="004E6BD9" w:rsidSect="00475982">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0380A"/>
    <w:multiLevelType w:val="hybridMultilevel"/>
    <w:tmpl w:val="124E7B94"/>
    <w:lvl w:ilvl="0" w:tplc="08090013">
      <w:start w:val="1"/>
      <w:numFmt w:val="upperRoman"/>
      <w:lvlText w:val="%1."/>
      <w:lvlJc w:val="right"/>
      <w:pPr>
        <w:tabs>
          <w:tab w:val="num" w:pos="720"/>
        </w:tabs>
        <w:ind w:left="720" w:hanging="360"/>
      </w:pPr>
      <w:rPr>
        <w:rFonts w:hint="default"/>
      </w:rPr>
    </w:lvl>
    <w:lvl w:ilvl="1" w:tplc="075A4E60">
      <w:start w:val="1"/>
      <w:numFmt w:val="bullet"/>
      <w:lvlText w:val="-"/>
      <w:lvlJc w:val="left"/>
      <w:pPr>
        <w:tabs>
          <w:tab w:val="num" w:pos="1440"/>
        </w:tabs>
        <w:ind w:left="1440" w:hanging="360"/>
      </w:pPr>
      <w:rPr>
        <w:rFonts w:ascii="Calibri" w:hAnsi="Calibri" w:cs="Times New Roman" w:hint="default"/>
      </w:rPr>
    </w:lvl>
    <w:lvl w:ilvl="2" w:tplc="0A12BFAA">
      <w:start w:val="1"/>
      <w:numFmt w:val="bullet"/>
      <w:lvlText w:val="-"/>
      <w:lvlJc w:val="left"/>
      <w:pPr>
        <w:tabs>
          <w:tab w:val="num" w:pos="2160"/>
        </w:tabs>
        <w:ind w:left="2160" w:hanging="360"/>
      </w:pPr>
      <w:rPr>
        <w:rFonts w:ascii="Calibri" w:hAnsi="Calibri" w:cs="Times New Roman" w:hint="default"/>
      </w:rPr>
    </w:lvl>
    <w:lvl w:ilvl="3" w:tplc="8940C1DC">
      <w:start w:val="1"/>
      <w:numFmt w:val="bullet"/>
      <w:lvlText w:val="-"/>
      <w:lvlJc w:val="left"/>
      <w:pPr>
        <w:tabs>
          <w:tab w:val="num" w:pos="2880"/>
        </w:tabs>
        <w:ind w:left="2880" w:hanging="360"/>
      </w:pPr>
      <w:rPr>
        <w:rFonts w:ascii="Calibri" w:hAnsi="Calibri" w:cs="Times New Roman" w:hint="default"/>
      </w:rPr>
    </w:lvl>
    <w:lvl w:ilvl="4" w:tplc="B930F176">
      <w:start w:val="1"/>
      <w:numFmt w:val="bullet"/>
      <w:lvlText w:val="-"/>
      <w:lvlJc w:val="left"/>
      <w:pPr>
        <w:tabs>
          <w:tab w:val="num" w:pos="3600"/>
        </w:tabs>
        <w:ind w:left="3600" w:hanging="360"/>
      </w:pPr>
      <w:rPr>
        <w:rFonts w:ascii="Calibri" w:hAnsi="Calibri" w:cs="Times New Roman" w:hint="default"/>
      </w:rPr>
    </w:lvl>
    <w:lvl w:ilvl="5" w:tplc="FD648764">
      <w:start w:val="1"/>
      <w:numFmt w:val="bullet"/>
      <w:lvlText w:val="-"/>
      <w:lvlJc w:val="left"/>
      <w:pPr>
        <w:tabs>
          <w:tab w:val="num" w:pos="4320"/>
        </w:tabs>
        <w:ind w:left="4320" w:hanging="360"/>
      </w:pPr>
      <w:rPr>
        <w:rFonts w:ascii="Calibri" w:hAnsi="Calibri" w:cs="Times New Roman" w:hint="default"/>
      </w:rPr>
    </w:lvl>
    <w:lvl w:ilvl="6" w:tplc="9948E350">
      <w:start w:val="1"/>
      <w:numFmt w:val="bullet"/>
      <w:lvlText w:val="-"/>
      <w:lvlJc w:val="left"/>
      <w:pPr>
        <w:tabs>
          <w:tab w:val="num" w:pos="5040"/>
        </w:tabs>
        <w:ind w:left="5040" w:hanging="360"/>
      </w:pPr>
      <w:rPr>
        <w:rFonts w:ascii="Calibri" w:hAnsi="Calibri" w:cs="Times New Roman" w:hint="default"/>
      </w:rPr>
    </w:lvl>
    <w:lvl w:ilvl="7" w:tplc="368C2800">
      <w:start w:val="1"/>
      <w:numFmt w:val="bullet"/>
      <w:lvlText w:val="-"/>
      <w:lvlJc w:val="left"/>
      <w:pPr>
        <w:tabs>
          <w:tab w:val="num" w:pos="5760"/>
        </w:tabs>
        <w:ind w:left="5760" w:hanging="360"/>
      </w:pPr>
      <w:rPr>
        <w:rFonts w:ascii="Calibri" w:hAnsi="Calibri" w:cs="Times New Roman" w:hint="default"/>
      </w:rPr>
    </w:lvl>
    <w:lvl w:ilvl="8" w:tplc="E0A49666">
      <w:start w:val="1"/>
      <w:numFmt w:val="bullet"/>
      <w:lvlText w:val="-"/>
      <w:lvlJc w:val="left"/>
      <w:pPr>
        <w:tabs>
          <w:tab w:val="num" w:pos="6480"/>
        </w:tabs>
        <w:ind w:left="6480" w:hanging="360"/>
      </w:pPr>
      <w:rPr>
        <w:rFonts w:ascii="Calibri" w:hAnsi="Calibri" w:cs="Times New Roman" w:hint="default"/>
      </w:rPr>
    </w:lvl>
  </w:abstractNum>
  <w:abstractNum w:abstractNumId="1" w15:restartNumberingAfterBreak="0">
    <w:nsid w:val="03B67B29"/>
    <w:multiLevelType w:val="hybridMultilevel"/>
    <w:tmpl w:val="59741B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830D9B"/>
    <w:multiLevelType w:val="hybridMultilevel"/>
    <w:tmpl w:val="64AA3C4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9973A2"/>
    <w:multiLevelType w:val="multilevel"/>
    <w:tmpl w:val="DF5A1B2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D4414D"/>
    <w:multiLevelType w:val="multilevel"/>
    <w:tmpl w:val="DA7667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BA85BDC"/>
    <w:multiLevelType w:val="hybridMultilevel"/>
    <w:tmpl w:val="A796BF7E"/>
    <w:lvl w:ilvl="0" w:tplc="08090013">
      <w:start w:val="1"/>
      <w:numFmt w:val="upperRoman"/>
      <w:lvlText w:val="%1."/>
      <w:lvlJc w:val="right"/>
      <w:pPr>
        <w:tabs>
          <w:tab w:val="num" w:pos="720"/>
        </w:tabs>
        <w:ind w:left="720" w:hanging="360"/>
      </w:pPr>
      <w:rPr>
        <w:rFonts w:hint="default"/>
      </w:rPr>
    </w:lvl>
    <w:lvl w:ilvl="1" w:tplc="075A4E60">
      <w:start w:val="1"/>
      <w:numFmt w:val="bullet"/>
      <w:lvlText w:val="-"/>
      <w:lvlJc w:val="left"/>
      <w:pPr>
        <w:tabs>
          <w:tab w:val="num" w:pos="1440"/>
        </w:tabs>
        <w:ind w:left="1440" w:hanging="360"/>
      </w:pPr>
      <w:rPr>
        <w:rFonts w:ascii="Calibri" w:hAnsi="Calibri" w:cs="Times New Roman" w:hint="default"/>
      </w:rPr>
    </w:lvl>
    <w:lvl w:ilvl="2" w:tplc="0A12BFAA">
      <w:start w:val="1"/>
      <w:numFmt w:val="bullet"/>
      <w:lvlText w:val="-"/>
      <w:lvlJc w:val="left"/>
      <w:pPr>
        <w:tabs>
          <w:tab w:val="num" w:pos="2160"/>
        </w:tabs>
        <w:ind w:left="2160" w:hanging="360"/>
      </w:pPr>
      <w:rPr>
        <w:rFonts w:ascii="Calibri" w:hAnsi="Calibri" w:cs="Times New Roman" w:hint="default"/>
      </w:rPr>
    </w:lvl>
    <w:lvl w:ilvl="3" w:tplc="8940C1DC">
      <w:start w:val="1"/>
      <w:numFmt w:val="bullet"/>
      <w:lvlText w:val="-"/>
      <w:lvlJc w:val="left"/>
      <w:pPr>
        <w:tabs>
          <w:tab w:val="num" w:pos="2880"/>
        </w:tabs>
        <w:ind w:left="2880" w:hanging="360"/>
      </w:pPr>
      <w:rPr>
        <w:rFonts w:ascii="Calibri" w:hAnsi="Calibri" w:cs="Times New Roman" w:hint="default"/>
      </w:rPr>
    </w:lvl>
    <w:lvl w:ilvl="4" w:tplc="B930F176">
      <w:start w:val="1"/>
      <w:numFmt w:val="bullet"/>
      <w:lvlText w:val="-"/>
      <w:lvlJc w:val="left"/>
      <w:pPr>
        <w:tabs>
          <w:tab w:val="num" w:pos="3600"/>
        </w:tabs>
        <w:ind w:left="3600" w:hanging="360"/>
      </w:pPr>
      <w:rPr>
        <w:rFonts w:ascii="Calibri" w:hAnsi="Calibri" w:cs="Times New Roman" w:hint="default"/>
      </w:rPr>
    </w:lvl>
    <w:lvl w:ilvl="5" w:tplc="FD648764">
      <w:start w:val="1"/>
      <w:numFmt w:val="bullet"/>
      <w:lvlText w:val="-"/>
      <w:lvlJc w:val="left"/>
      <w:pPr>
        <w:tabs>
          <w:tab w:val="num" w:pos="4320"/>
        </w:tabs>
        <w:ind w:left="4320" w:hanging="360"/>
      </w:pPr>
      <w:rPr>
        <w:rFonts w:ascii="Calibri" w:hAnsi="Calibri" w:cs="Times New Roman" w:hint="default"/>
      </w:rPr>
    </w:lvl>
    <w:lvl w:ilvl="6" w:tplc="9948E350">
      <w:start w:val="1"/>
      <w:numFmt w:val="bullet"/>
      <w:lvlText w:val="-"/>
      <w:lvlJc w:val="left"/>
      <w:pPr>
        <w:tabs>
          <w:tab w:val="num" w:pos="5040"/>
        </w:tabs>
        <w:ind w:left="5040" w:hanging="360"/>
      </w:pPr>
      <w:rPr>
        <w:rFonts w:ascii="Calibri" w:hAnsi="Calibri" w:cs="Times New Roman" w:hint="default"/>
      </w:rPr>
    </w:lvl>
    <w:lvl w:ilvl="7" w:tplc="368C2800">
      <w:start w:val="1"/>
      <w:numFmt w:val="bullet"/>
      <w:lvlText w:val="-"/>
      <w:lvlJc w:val="left"/>
      <w:pPr>
        <w:tabs>
          <w:tab w:val="num" w:pos="5760"/>
        </w:tabs>
        <w:ind w:left="5760" w:hanging="360"/>
      </w:pPr>
      <w:rPr>
        <w:rFonts w:ascii="Calibri" w:hAnsi="Calibri" w:cs="Times New Roman" w:hint="default"/>
      </w:rPr>
    </w:lvl>
    <w:lvl w:ilvl="8" w:tplc="E0A49666">
      <w:start w:val="1"/>
      <w:numFmt w:val="bullet"/>
      <w:lvlText w:val="-"/>
      <w:lvlJc w:val="left"/>
      <w:pPr>
        <w:tabs>
          <w:tab w:val="num" w:pos="6480"/>
        </w:tabs>
        <w:ind w:left="6480" w:hanging="360"/>
      </w:pPr>
      <w:rPr>
        <w:rFonts w:ascii="Calibri" w:hAnsi="Calibri" w:cs="Times New Roman" w:hint="default"/>
      </w:rPr>
    </w:lvl>
  </w:abstractNum>
  <w:abstractNum w:abstractNumId="6" w15:restartNumberingAfterBreak="0">
    <w:nsid w:val="0E9771B5"/>
    <w:multiLevelType w:val="hybridMultilevel"/>
    <w:tmpl w:val="FDD21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1A1E34"/>
    <w:multiLevelType w:val="multilevel"/>
    <w:tmpl w:val="B88C5D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3A565A"/>
    <w:multiLevelType w:val="multilevel"/>
    <w:tmpl w:val="FCC22D6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C57F57"/>
    <w:multiLevelType w:val="multilevel"/>
    <w:tmpl w:val="F17A749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193D43"/>
    <w:multiLevelType w:val="hybridMultilevel"/>
    <w:tmpl w:val="D03406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A10113E"/>
    <w:multiLevelType w:val="multilevel"/>
    <w:tmpl w:val="419C8C8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F01C71"/>
    <w:multiLevelType w:val="hybridMultilevel"/>
    <w:tmpl w:val="BA68D798"/>
    <w:lvl w:ilvl="0" w:tplc="08090013">
      <w:start w:val="1"/>
      <w:numFmt w:val="upperRoman"/>
      <w:lvlText w:val="%1."/>
      <w:lvlJc w:val="right"/>
      <w:pPr>
        <w:tabs>
          <w:tab w:val="num" w:pos="720"/>
        </w:tabs>
        <w:ind w:left="720" w:hanging="360"/>
      </w:pPr>
      <w:rPr>
        <w:rFonts w:hint="default"/>
      </w:rPr>
    </w:lvl>
    <w:lvl w:ilvl="1" w:tplc="FE0CD11A" w:tentative="1">
      <w:start w:val="1"/>
      <w:numFmt w:val="bullet"/>
      <w:lvlText w:val="•"/>
      <w:lvlJc w:val="left"/>
      <w:pPr>
        <w:tabs>
          <w:tab w:val="num" w:pos="1440"/>
        </w:tabs>
        <w:ind w:left="1440" w:hanging="360"/>
      </w:pPr>
      <w:rPr>
        <w:rFonts w:ascii="Arial" w:hAnsi="Arial" w:hint="default"/>
      </w:rPr>
    </w:lvl>
    <w:lvl w:ilvl="2" w:tplc="5534FD4A" w:tentative="1">
      <w:start w:val="1"/>
      <w:numFmt w:val="bullet"/>
      <w:lvlText w:val="•"/>
      <w:lvlJc w:val="left"/>
      <w:pPr>
        <w:tabs>
          <w:tab w:val="num" w:pos="2160"/>
        </w:tabs>
        <w:ind w:left="2160" w:hanging="360"/>
      </w:pPr>
      <w:rPr>
        <w:rFonts w:ascii="Arial" w:hAnsi="Arial" w:hint="default"/>
      </w:rPr>
    </w:lvl>
    <w:lvl w:ilvl="3" w:tplc="AB903376" w:tentative="1">
      <w:start w:val="1"/>
      <w:numFmt w:val="bullet"/>
      <w:lvlText w:val="•"/>
      <w:lvlJc w:val="left"/>
      <w:pPr>
        <w:tabs>
          <w:tab w:val="num" w:pos="2880"/>
        </w:tabs>
        <w:ind w:left="2880" w:hanging="360"/>
      </w:pPr>
      <w:rPr>
        <w:rFonts w:ascii="Arial" w:hAnsi="Arial" w:hint="default"/>
      </w:rPr>
    </w:lvl>
    <w:lvl w:ilvl="4" w:tplc="8FDC733E" w:tentative="1">
      <w:start w:val="1"/>
      <w:numFmt w:val="bullet"/>
      <w:lvlText w:val="•"/>
      <w:lvlJc w:val="left"/>
      <w:pPr>
        <w:tabs>
          <w:tab w:val="num" w:pos="3600"/>
        </w:tabs>
        <w:ind w:left="3600" w:hanging="360"/>
      </w:pPr>
      <w:rPr>
        <w:rFonts w:ascii="Arial" w:hAnsi="Arial" w:hint="default"/>
      </w:rPr>
    </w:lvl>
    <w:lvl w:ilvl="5" w:tplc="B43CD4E0" w:tentative="1">
      <w:start w:val="1"/>
      <w:numFmt w:val="bullet"/>
      <w:lvlText w:val="•"/>
      <w:lvlJc w:val="left"/>
      <w:pPr>
        <w:tabs>
          <w:tab w:val="num" w:pos="4320"/>
        </w:tabs>
        <w:ind w:left="4320" w:hanging="360"/>
      </w:pPr>
      <w:rPr>
        <w:rFonts w:ascii="Arial" w:hAnsi="Arial" w:hint="default"/>
      </w:rPr>
    </w:lvl>
    <w:lvl w:ilvl="6" w:tplc="1E44A1BA" w:tentative="1">
      <w:start w:val="1"/>
      <w:numFmt w:val="bullet"/>
      <w:lvlText w:val="•"/>
      <w:lvlJc w:val="left"/>
      <w:pPr>
        <w:tabs>
          <w:tab w:val="num" w:pos="5040"/>
        </w:tabs>
        <w:ind w:left="5040" w:hanging="360"/>
      </w:pPr>
      <w:rPr>
        <w:rFonts w:ascii="Arial" w:hAnsi="Arial" w:hint="default"/>
      </w:rPr>
    </w:lvl>
    <w:lvl w:ilvl="7" w:tplc="C8C25662" w:tentative="1">
      <w:start w:val="1"/>
      <w:numFmt w:val="bullet"/>
      <w:lvlText w:val="•"/>
      <w:lvlJc w:val="left"/>
      <w:pPr>
        <w:tabs>
          <w:tab w:val="num" w:pos="5760"/>
        </w:tabs>
        <w:ind w:left="5760" w:hanging="360"/>
      </w:pPr>
      <w:rPr>
        <w:rFonts w:ascii="Arial" w:hAnsi="Arial" w:hint="default"/>
      </w:rPr>
    </w:lvl>
    <w:lvl w:ilvl="8" w:tplc="4104A6B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B5716C6"/>
    <w:multiLevelType w:val="hybridMultilevel"/>
    <w:tmpl w:val="C69E4870"/>
    <w:lvl w:ilvl="0" w:tplc="6E7C1D00">
      <w:start w:val="1"/>
      <w:numFmt w:val="bullet"/>
      <w:lvlText w:val="•"/>
      <w:lvlJc w:val="left"/>
      <w:pPr>
        <w:tabs>
          <w:tab w:val="num" w:pos="720"/>
        </w:tabs>
        <w:ind w:left="720" w:hanging="360"/>
      </w:pPr>
      <w:rPr>
        <w:rFonts w:ascii="Arial" w:hAnsi="Arial" w:hint="default"/>
      </w:rPr>
    </w:lvl>
    <w:lvl w:ilvl="1" w:tplc="E2940704" w:tentative="1">
      <w:start w:val="1"/>
      <w:numFmt w:val="bullet"/>
      <w:lvlText w:val="•"/>
      <w:lvlJc w:val="left"/>
      <w:pPr>
        <w:tabs>
          <w:tab w:val="num" w:pos="1440"/>
        </w:tabs>
        <w:ind w:left="1440" w:hanging="360"/>
      </w:pPr>
      <w:rPr>
        <w:rFonts w:ascii="Arial" w:hAnsi="Arial" w:hint="default"/>
      </w:rPr>
    </w:lvl>
    <w:lvl w:ilvl="2" w:tplc="A0324368" w:tentative="1">
      <w:start w:val="1"/>
      <w:numFmt w:val="bullet"/>
      <w:lvlText w:val="•"/>
      <w:lvlJc w:val="left"/>
      <w:pPr>
        <w:tabs>
          <w:tab w:val="num" w:pos="2160"/>
        </w:tabs>
        <w:ind w:left="2160" w:hanging="360"/>
      </w:pPr>
      <w:rPr>
        <w:rFonts w:ascii="Arial" w:hAnsi="Arial" w:hint="default"/>
      </w:rPr>
    </w:lvl>
    <w:lvl w:ilvl="3" w:tplc="3D007D16" w:tentative="1">
      <w:start w:val="1"/>
      <w:numFmt w:val="bullet"/>
      <w:lvlText w:val="•"/>
      <w:lvlJc w:val="left"/>
      <w:pPr>
        <w:tabs>
          <w:tab w:val="num" w:pos="2880"/>
        </w:tabs>
        <w:ind w:left="2880" w:hanging="360"/>
      </w:pPr>
      <w:rPr>
        <w:rFonts w:ascii="Arial" w:hAnsi="Arial" w:hint="default"/>
      </w:rPr>
    </w:lvl>
    <w:lvl w:ilvl="4" w:tplc="5940669C" w:tentative="1">
      <w:start w:val="1"/>
      <w:numFmt w:val="bullet"/>
      <w:lvlText w:val="•"/>
      <w:lvlJc w:val="left"/>
      <w:pPr>
        <w:tabs>
          <w:tab w:val="num" w:pos="3600"/>
        </w:tabs>
        <w:ind w:left="3600" w:hanging="360"/>
      </w:pPr>
      <w:rPr>
        <w:rFonts w:ascii="Arial" w:hAnsi="Arial" w:hint="default"/>
      </w:rPr>
    </w:lvl>
    <w:lvl w:ilvl="5" w:tplc="E1A28E28" w:tentative="1">
      <w:start w:val="1"/>
      <w:numFmt w:val="bullet"/>
      <w:lvlText w:val="•"/>
      <w:lvlJc w:val="left"/>
      <w:pPr>
        <w:tabs>
          <w:tab w:val="num" w:pos="4320"/>
        </w:tabs>
        <w:ind w:left="4320" w:hanging="360"/>
      </w:pPr>
      <w:rPr>
        <w:rFonts w:ascii="Arial" w:hAnsi="Arial" w:hint="default"/>
      </w:rPr>
    </w:lvl>
    <w:lvl w:ilvl="6" w:tplc="27DA2836" w:tentative="1">
      <w:start w:val="1"/>
      <w:numFmt w:val="bullet"/>
      <w:lvlText w:val="•"/>
      <w:lvlJc w:val="left"/>
      <w:pPr>
        <w:tabs>
          <w:tab w:val="num" w:pos="5040"/>
        </w:tabs>
        <w:ind w:left="5040" w:hanging="360"/>
      </w:pPr>
      <w:rPr>
        <w:rFonts w:ascii="Arial" w:hAnsi="Arial" w:hint="default"/>
      </w:rPr>
    </w:lvl>
    <w:lvl w:ilvl="7" w:tplc="1B70DC38" w:tentative="1">
      <w:start w:val="1"/>
      <w:numFmt w:val="bullet"/>
      <w:lvlText w:val="•"/>
      <w:lvlJc w:val="left"/>
      <w:pPr>
        <w:tabs>
          <w:tab w:val="num" w:pos="5760"/>
        </w:tabs>
        <w:ind w:left="5760" w:hanging="360"/>
      </w:pPr>
      <w:rPr>
        <w:rFonts w:ascii="Arial" w:hAnsi="Arial" w:hint="default"/>
      </w:rPr>
    </w:lvl>
    <w:lvl w:ilvl="8" w:tplc="0D28176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CB50AC7"/>
    <w:multiLevelType w:val="multilevel"/>
    <w:tmpl w:val="2D36F1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3434D8"/>
    <w:multiLevelType w:val="multilevel"/>
    <w:tmpl w:val="E940E9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CE3CC1"/>
    <w:multiLevelType w:val="hybridMultilevel"/>
    <w:tmpl w:val="EDA22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0861CF"/>
    <w:multiLevelType w:val="multilevel"/>
    <w:tmpl w:val="09BA807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B854F9"/>
    <w:multiLevelType w:val="multilevel"/>
    <w:tmpl w:val="5510BD7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CD760F"/>
    <w:multiLevelType w:val="multilevel"/>
    <w:tmpl w:val="E4CC1D3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31425EFD"/>
    <w:multiLevelType w:val="hybridMultilevel"/>
    <w:tmpl w:val="96387CF4"/>
    <w:lvl w:ilvl="0" w:tplc="0568BCFA">
      <w:start w:val="1"/>
      <w:numFmt w:val="bullet"/>
      <w:lvlText w:val="•"/>
      <w:lvlJc w:val="left"/>
      <w:pPr>
        <w:tabs>
          <w:tab w:val="num" w:pos="720"/>
        </w:tabs>
        <w:ind w:left="720" w:hanging="360"/>
      </w:pPr>
      <w:rPr>
        <w:rFonts w:ascii="Arial" w:hAnsi="Arial" w:hint="default"/>
      </w:rPr>
    </w:lvl>
    <w:lvl w:ilvl="1" w:tplc="37285216" w:tentative="1">
      <w:start w:val="1"/>
      <w:numFmt w:val="bullet"/>
      <w:lvlText w:val="•"/>
      <w:lvlJc w:val="left"/>
      <w:pPr>
        <w:tabs>
          <w:tab w:val="num" w:pos="1440"/>
        </w:tabs>
        <w:ind w:left="1440" w:hanging="360"/>
      </w:pPr>
      <w:rPr>
        <w:rFonts w:ascii="Arial" w:hAnsi="Arial" w:hint="default"/>
      </w:rPr>
    </w:lvl>
    <w:lvl w:ilvl="2" w:tplc="6AB2C758" w:tentative="1">
      <w:start w:val="1"/>
      <w:numFmt w:val="bullet"/>
      <w:lvlText w:val="•"/>
      <w:lvlJc w:val="left"/>
      <w:pPr>
        <w:tabs>
          <w:tab w:val="num" w:pos="2160"/>
        </w:tabs>
        <w:ind w:left="2160" w:hanging="360"/>
      </w:pPr>
      <w:rPr>
        <w:rFonts w:ascii="Arial" w:hAnsi="Arial" w:hint="default"/>
      </w:rPr>
    </w:lvl>
    <w:lvl w:ilvl="3" w:tplc="148A4FD8" w:tentative="1">
      <w:start w:val="1"/>
      <w:numFmt w:val="bullet"/>
      <w:lvlText w:val="•"/>
      <w:lvlJc w:val="left"/>
      <w:pPr>
        <w:tabs>
          <w:tab w:val="num" w:pos="2880"/>
        </w:tabs>
        <w:ind w:left="2880" w:hanging="360"/>
      </w:pPr>
      <w:rPr>
        <w:rFonts w:ascii="Arial" w:hAnsi="Arial" w:hint="default"/>
      </w:rPr>
    </w:lvl>
    <w:lvl w:ilvl="4" w:tplc="7F240FFE" w:tentative="1">
      <w:start w:val="1"/>
      <w:numFmt w:val="bullet"/>
      <w:lvlText w:val="•"/>
      <w:lvlJc w:val="left"/>
      <w:pPr>
        <w:tabs>
          <w:tab w:val="num" w:pos="3600"/>
        </w:tabs>
        <w:ind w:left="3600" w:hanging="360"/>
      </w:pPr>
      <w:rPr>
        <w:rFonts w:ascii="Arial" w:hAnsi="Arial" w:hint="default"/>
      </w:rPr>
    </w:lvl>
    <w:lvl w:ilvl="5" w:tplc="FDDA4CAA" w:tentative="1">
      <w:start w:val="1"/>
      <w:numFmt w:val="bullet"/>
      <w:lvlText w:val="•"/>
      <w:lvlJc w:val="left"/>
      <w:pPr>
        <w:tabs>
          <w:tab w:val="num" w:pos="4320"/>
        </w:tabs>
        <w:ind w:left="4320" w:hanging="360"/>
      </w:pPr>
      <w:rPr>
        <w:rFonts w:ascii="Arial" w:hAnsi="Arial" w:hint="default"/>
      </w:rPr>
    </w:lvl>
    <w:lvl w:ilvl="6" w:tplc="A8647B76" w:tentative="1">
      <w:start w:val="1"/>
      <w:numFmt w:val="bullet"/>
      <w:lvlText w:val="•"/>
      <w:lvlJc w:val="left"/>
      <w:pPr>
        <w:tabs>
          <w:tab w:val="num" w:pos="5040"/>
        </w:tabs>
        <w:ind w:left="5040" w:hanging="360"/>
      </w:pPr>
      <w:rPr>
        <w:rFonts w:ascii="Arial" w:hAnsi="Arial" w:hint="default"/>
      </w:rPr>
    </w:lvl>
    <w:lvl w:ilvl="7" w:tplc="DDB85682" w:tentative="1">
      <w:start w:val="1"/>
      <w:numFmt w:val="bullet"/>
      <w:lvlText w:val="•"/>
      <w:lvlJc w:val="left"/>
      <w:pPr>
        <w:tabs>
          <w:tab w:val="num" w:pos="5760"/>
        </w:tabs>
        <w:ind w:left="5760" w:hanging="360"/>
      </w:pPr>
      <w:rPr>
        <w:rFonts w:ascii="Arial" w:hAnsi="Arial" w:hint="default"/>
      </w:rPr>
    </w:lvl>
    <w:lvl w:ilvl="8" w:tplc="36442F8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2B17D98"/>
    <w:multiLevelType w:val="multilevel"/>
    <w:tmpl w:val="213AEF7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2FE706B"/>
    <w:multiLevelType w:val="multilevel"/>
    <w:tmpl w:val="F96A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5B639BB"/>
    <w:multiLevelType w:val="multilevel"/>
    <w:tmpl w:val="EB9C5D8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98D25F3"/>
    <w:multiLevelType w:val="multilevel"/>
    <w:tmpl w:val="1A9AC8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C735B10"/>
    <w:multiLevelType w:val="multilevel"/>
    <w:tmpl w:val="91D2CD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FBC61E1"/>
    <w:multiLevelType w:val="multilevel"/>
    <w:tmpl w:val="6DF8572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04F4CBA"/>
    <w:multiLevelType w:val="multilevel"/>
    <w:tmpl w:val="A01E1FC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0A53D90"/>
    <w:multiLevelType w:val="multilevel"/>
    <w:tmpl w:val="1A2A44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1036387"/>
    <w:multiLevelType w:val="hybridMultilevel"/>
    <w:tmpl w:val="1904EF78"/>
    <w:lvl w:ilvl="0" w:tplc="8F7E631A">
      <w:start w:val="1"/>
      <w:numFmt w:val="bullet"/>
      <w:lvlText w:val="•"/>
      <w:lvlJc w:val="left"/>
      <w:pPr>
        <w:tabs>
          <w:tab w:val="num" w:pos="720"/>
        </w:tabs>
        <w:ind w:left="720" w:hanging="360"/>
      </w:pPr>
      <w:rPr>
        <w:rFonts w:ascii="Arial" w:hAnsi="Arial" w:hint="default"/>
      </w:rPr>
    </w:lvl>
    <w:lvl w:ilvl="1" w:tplc="403EE0D2" w:tentative="1">
      <w:start w:val="1"/>
      <w:numFmt w:val="bullet"/>
      <w:lvlText w:val="•"/>
      <w:lvlJc w:val="left"/>
      <w:pPr>
        <w:tabs>
          <w:tab w:val="num" w:pos="1440"/>
        </w:tabs>
        <w:ind w:left="1440" w:hanging="360"/>
      </w:pPr>
      <w:rPr>
        <w:rFonts w:ascii="Arial" w:hAnsi="Arial" w:hint="default"/>
      </w:rPr>
    </w:lvl>
    <w:lvl w:ilvl="2" w:tplc="8E4455C2" w:tentative="1">
      <w:start w:val="1"/>
      <w:numFmt w:val="bullet"/>
      <w:lvlText w:val="•"/>
      <w:lvlJc w:val="left"/>
      <w:pPr>
        <w:tabs>
          <w:tab w:val="num" w:pos="2160"/>
        </w:tabs>
        <w:ind w:left="2160" w:hanging="360"/>
      </w:pPr>
      <w:rPr>
        <w:rFonts w:ascii="Arial" w:hAnsi="Arial" w:hint="default"/>
      </w:rPr>
    </w:lvl>
    <w:lvl w:ilvl="3" w:tplc="47EA4B78" w:tentative="1">
      <w:start w:val="1"/>
      <w:numFmt w:val="bullet"/>
      <w:lvlText w:val="•"/>
      <w:lvlJc w:val="left"/>
      <w:pPr>
        <w:tabs>
          <w:tab w:val="num" w:pos="2880"/>
        </w:tabs>
        <w:ind w:left="2880" w:hanging="360"/>
      </w:pPr>
      <w:rPr>
        <w:rFonts w:ascii="Arial" w:hAnsi="Arial" w:hint="default"/>
      </w:rPr>
    </w:lvl>
    <w:lvl w:ilvl="4" w:tplc="B65213F4" w:tentative="1">
      <w:start w:val="1"/>
      <w:numFmt w:val="bullet"/>
      <w:lvlText w:val="•"/>
      <w:lvlJc w:val="left"/>
      <w:pPr>
        <w:tabs>
          <w:tab w:val="num" w:pos="3600"/>
        </w:tabs>
        <w:ind w:left="3600" w:hanging="360"/>
      </w:pPr>
      <w:rPr>
        <w:rFonts w:ascii="Arial" w:hAnsi="Arial" w:hint="default"/>
      </w:rPr>
    </w:lvl>
    <w:lvl w:ilvl="5" w:tplc="C1D0EB9A" w:tentative="1">
      <w:start w:val="1"/>
      <w:numFmt w:val="bullet"/>
      <w:lvlText w:val="•"/>
      <w:lvlJc w:val="left"/>
      <w:pPr>
        <w:tabs>
          <w:tab w:val="num" w:pos="4320"/>
        </w:tabs>
        <w:ind w:left="4320" w:hanging="360"/>
      </w:pPr>
      <w:rPr>
        <w:rFonts w:ascii="Arial" w:hAnsi="Arial" w:hint="default"/>
      </w:rPr>
    </w:lvl>
    <w:lvl w:ilvl="6" w:tplc="0582A900" w:tentative="1">
      <w:start w:val="1"/>
      <w:numFmt w:val="bullet"/>
      <w:lvlText w:val="•"/>
      <w:lvlJc w:val="left"/>
      <w:pPr>
        <w:tabs>
          <w:tab w:val="num" w:pos="5040"/>
        </w:tabs>
        <w:ind w:left="5040" w:hanging="360"/>
      </w:pPr>
      <w:rPr>
        <w:rFonts w:ascii="Arial" w:hAnsi="Arial" w:hint="default"/>
      </w:rPr>
    </w:lvl>
    <w:lvl w:ilvl="7" w:tplc="0B5C1E08" w:tentative="1">
      <w:start w:val="1"/>
      <w:numFmt w:val="bullet"/>
      <w:lvlText w:val="•"/>
      <w:lvlJc w:val="left"/>
      <w:pPr>
        <w:tabs>
          <w:tab w:val="num" w:pos="5760"/>
        </w:tabs>
        <w:ind w:left="5760" w:hanging="360"/>
      </w:pPr>
      <w:rPr>
        <w:rFonts w:ascii="Arial" w:hAnsi="Arial" w:hint="default"/>
      </w:rPr>
    </w:lvl>
    <w:lvl w:ilvl="8" w:tplc="8BC8E20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42A4D06"/>
    <w:multiLevelType w:val="hybridMultilevel"/>
    <w:tmpl w:val="6BD2D6B2"/>
    <w:lvl w:ilvl="0" w:tplc="EA346864">
      <w:start w:val="1"/>
      <w:numFmt w:val="bullet"/>
      <w:lvlText w:val="•"/>
      <w:lvlJc w:val="left"/>
      <w:pPr>
        <w:tabs>
          <w:tab w:val="num" w:pos="720"/>
        </w:tabs>
        <w:ind w:left="720" w:hanging="360"/>
      </w:pPr>
      <w:rPr>
        <w:rFonts w:ascii="Arial" w:hAnsi="Arial" w:hint="default"/>
      </w:rPr>
    </w:lvl>
    <w:lvl w:ilvl="1" w:tplc="1EF40100" w:tentative="1">
      <w:start w:val="1"/>
      <w:numFmt w:val="bullet"/>
      <w:lvlText w:val="•"/>
      <w:lvlJc w:val="left"/>
      <w:pPr>
        <w:tabs>
          <w:tab w:val="num" w:pos="1440"/>
        </w:tabs>
        <w:ind w:left="1440" w:hanging="360"/>
      </w:pPr>
      <w:rPr>
        <w:rFonts w:ascii="Arial" w:hAnsi="Arial" w:hint="default"/>
      </w:rPr>
    </w:lvl>
    <w:lvl w:ilvl="2" w:tplc="A19ED78A" w:tentative="1">
      <w:start w:val="1"/>
      <w:numFmt w:val="bullet"/>
      <w:lvlText w:val="•"/>
      <w:lvlJc w:val="left"/>
      <w:pPr>
        <w:tabs>
          <w:tab w:val="num" w:pos="2160"/>
        </w:tabs>
        <w:ind w:left="2160" w:hanging="360"/>
      </w:pPr>
      <w:rPr>
        <w:rFonts w:ascii="Arial" w:hAnsi="Arial" w:hint="default"/>
      </w:rPr>
    </w:lvl>
    <w:lvl w:ilvl="3" w:tplc="61DCD08A" w:tentative="1">
      <w:start w:val="1"/>
      <w:numFmt w:val="bullet"/>
      <w:lvlText w:val="•"/>
      <w:lvlJc w:val="left"/>
      <w:pPr>
        <w:tabs>
          <w:tab w:val="num" w:pos="2880"/>
        </w:tabs>
        <w:ind w:left="2880" w:hanging="360"/>
      </w:pPr>
      <w:rPr>
        <w:rFonts w:ascii="Arial" w:hAnsi="Arial" w:hint="default"/>
      </w:rPr>
    </w:lvl>
    <w:lvl w:ilvl="4" w:tplc="D34ED1CA" w:tentative="1">
      <w:start w:val="1"/>
      <w:numFmt w:val="bullet"/>
      <w:lvlText w:val="•"/>
      <w:lvlJc w:val="left"/>
      <w:pPr>
        <w:tabs>
          <w:tab w:val="num" w:pos="3600"/>
        </w:tabs>
        <w:ind w:left="3600" w:hanging="360"/>
      </w:pPr>
      <w:rPr>
        <w:rFonts w:ascii="Arial" w:hAnsi="Arial" w:hint="default"/>
      </w:rPr>
    </w:lvl>
    <w:lvl w:ilvl="5" w:tplc="BA0CD172" w:tentative="1">
      <w:start w:val="1"/>
      <w:numFmt w:val="bullet"/>
      <w:lvlText w:val="•"/>
      <w:lvlJc w:val="left"/>
      <w:pPr>
        <w:tabs>
          <w:tab w:val="num" w:pos="4320"/>
        </w:tabs>
        <w:ind w:left="4320" w:hanging="360"/>
      </w:pPr>
      <w:rPr>
        <w:rFonts w:ascii="Arial" w:hAnsi="Arial" w:hint="default"/>
      </w:rPr>
    </w:lvl>
    <w:lvl w:ilvl="6" w:tplc="967A3FE8" w:tentative="1">
      <w:start w:val="1"/>
      <w:numFmt w:val="bullet"/>
      <w:lvlText w:val="•"/>
      <w:lvlJc w:val="left"/>
      <w:pPr>
        <w:tabs>
          <w:tab w:val="num" w:pos="5040"/>
        </w:tabs>
        <w:ind w:left="5040" w:hanging="360"/>
      </w:pPr>
      <w:rPr>
        <w:rFonts w:ascii="Arial" w:hAnsi="Arial" w:hint="default"/>
      </w:rPr>
    </w:lvl>
    <w:lvl w:ilvl="7" w:tplc="1118262C" w:tentative="1">
      <w:start w:val="1"/>
      <w:numFmt w:val="bullet"/>
      <w:lvlText w:val="•"/>
      <w:lvlJc w:val="left"/>
      <w:pPr>
        <w:tabs>
          <w:tab w:val="num" w:pos="5760"/>
        </w:tabs>
        <w:ind w:left="5760" w:hanging="360"/>
      </w:pPr>
      <w:rPr>
        <w:rFonts w:ascii="Arial" w:hAnsi="Arial" w:hint="default"/>
      </w:rPr>
    </w:lvl>
    <w:lvl w:ilvl="8" w:tplc="A94AE75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47457E9"/>
    <w:multiLevelType w:val="hybridMultilevel"/>
    <w:tmpl w:val="F89E4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454B34"/>
    <w:multiLevelType w:val="hybridMultilevel"/>
    <w:tmpl w:val="A82ABCC4"/>
    <w:lvl w:ilvl="0" w:tplc="0809000F">
      <w:start w:val="1"/>
      <w:numFmt w:val="decimal"/>
      <w:lvlText w:val="%1."/>
      <w:lvlJc w:val="left"/>
      <w:pPr>
        <w:tabs>
          <w:tab w:val="num" w:pos="360"/>
        </w:tabs>
        <w:ind w:left="360" w:hanging="360"/>
      </w:pPr>
      <w:rPr>
        <w:rFonts w:hint="default"/>
      </w:rPr>
    </w:lvl>
    <w:lvl w:ilvl="1" w:tplc="075A4E60">
      <w:start w:val="1"/>
      <w:numFmt w:val="bullet"/>
      <w:lvlText w:val="-"/>
      <w:lvlJc w:val="left"/>
      <w:pPr>
        <w:tabs>
          <w:tab w:val="num" w:pos="1080"/>
        </w:tabs>
        <w:ind w:left="1080" w:hanging="360"/>
      </w:pPr>
      <w:rPr>
        <w:rFonts w:ascii="Calibri" w:hAnsi="Calibri" w:cs="Times New Roman" w:hint="default"/>
      </w:rPr>
    </w:lvl>
    <w:lvl w:ilvl="2" w:tplc="0A12BFAA">
      <w:start w:val="1"/>
      <w:numFmt w:val="bullet"/>
      <w:lvlText w:val="-"/>
      <w:lvlJc w:val="left"/>
      <w:pPr>
        <w:tabs>
          <w:tab w:val="num" w:pos="1800"/>
        </w:tabs>
        <w:ind w:left="1800" w:hanging="360"/>
      </w:pPr>
      <w:rPr>
        <w:rFonts w:ascii="Calibri" w:hAnsi="Calibri" w:cs="Times New Roman" w:hint="default"/>
      </w:rPr>
    </w:lvl>
    <w:lvl w:ilvl="3" w:tplc="8940C1DC">
      <w:start w:val="1"/>
      <w:numFmt w:val="bullet"/>
      <w:lvlText w:val="-"/>
      <w:lvlJc w:val="left"/>
      <w:pPr>
        <w:tabs>
          <w:tab w:val="num" w:pos="2520"/>
        </w:tabs>
        <w:ind w:left="2520" w:hanging="360"/>
      </w:pPr>
      <w:rPr>
        <w:rFonts w:ascii="Calibri" w:hAnsi="Calibri" w:cs="Times New Roman" w:hint="default"/>
      </w:rPr>
    </w:lvl>
    <w:lvl w:ilvl="4" w:tplc="B930F176">
      <w:start w:val="1"/>
      <w:numFmt w:val="bullet"/>
      <w:lvlText w:val="-"/>
      <w:lvlJc w:val="left"/>
      <w:pPr>
        <w:tabs>
          <w:tab w:val="num" w:pos="3240"/>
        </w:tabs>
        <w:ind w:left="3240" w:hanging="360"/>
      </w:pPr>
      <w:rPr>
        <w:rFonts w:ascii="Calibri" w:hAnsi="Calibri" w:cs="Times New Roman" w:hint="default"/>
      </w:rPr>
    </w:lvl>
    <w:lvl w:ilvl="5" w:tplc="FD648764">
      <w:start w:val="1"/>
      <w:numFmt w:val="bullet"/>
      <w:lvlText w:val="-"/>
      <w:lvlJc w:val="left"/>
      <w:pPr>
        <w:tabs>
          <w:tab w:val="num" w:pos="3960"/>
        </w:tabs>
        <w:ind w:left="3960" w:hanging="360"/>
      </w:pPr>
      <w:rPr>
        <w:rFonts w:ascii="Calibri" w:hAnsi="Calibri" w:cs="Times New Roman" w:hint="default"/>
      </w:rPr>
    </w:lvl>
    <w:lvl w:ilvl="6" w:tplc="9948E350">
      <w:start w:val="1"/>
      <w:numFmt w:val="bullet"/>
      <w:lvlText w:val="-"/>
      <w:lvlJc w:val="left"/>
      <w:pPr>
        <w:tabs>
          <w:tab w:val="num" w:pos="4680"/>
        </w:tabs>
        <w:ind w:left="4680" w:hanging="360"/>
      </w:pPr>
      <w:rPr>
        <w:rFonts w:ascii="Calibri" w:hAnsi="Calibri" w:cs="Times New Roman" w:hint="default"/>
      </w:rPr>
    </w:lvl>
    <w:lvl w:ilvl="7" w:tplc="368C2800">
      <w:start w:val="1"/>
      <w:numFmt w:val="bullet"/>
      <w:lvlText w:val="-"/>
      <w:lvlJc w:val="left"/>
      <w:pPr>
        <w:tabs>
          <w:tab w:val="num" w:pos="5400"/>
        </w:tabs>
        <w:ind w:left="5400" w:hanging="360"/>
      </w:pPr>
      <w:rPr>
        <w:rFonts w:ascii="Calibri" w:hAnsi="Calibri" w:cs="Times New Roman" w:hint="default"/>
      </w:rPr>
    </w:lvl>
    <w:lvl w:ilvl="8" w:tplc="E0A49666">
      <w:start w:val="1"/>
      <w:numFmt w:val="bullet"/>
      <w:lvlText w:val="-"/>
      <w:lvlJc w:val="left"/>
      <w:pPr>
        <w:tabs>
          <w:tab w:val="num" w:pos="6120"/>
        </w:tabs>
        <w:ind w:left="6120" w:hanging="360"/>
      </w:pPr>
      <w:rPr>
        <w:rFonts w:ascii="Calibri" w:hAnsi="Calibri" w:cs="Times New Roman" w:hint="default"/>
      </w:rPr>
    </w:lvl>
  </w:abstractNum>
  <w:abstractNum w:abstractNumId="33" w15:restartNumberingAfterBreak="0">
    <w:nsid w:val="4E4A41EC"/>
    <w:multiLevelType w:val="multilevel"/>
    <w:tmpl w:val="57A8522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06E5C0A"/>
    <w:multiLevelType w:val="hybridMultilevel"/>
    <w:tmpl w:val="43266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206190"/>
    <w:multiLevelType w:val="hybridMultilevel"/>
    <w:tmpl w:val="5470D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D83C51"/>
    <w:multiLevelType w:val="multilevel"/>
    <w:tmpl w:val="B0401920"/>
    <w:lvl w:ilvl="0">
      <w:start w:val="2"/>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503722F"/>
    <w:multiLevelType w:val="hybridMultilevel"/>
    <w:tmpl w:val="6F662C8E"/>
    <w:lvl w:ilvl="0" w:tplc="C4E8AF2E">
      <w:start w:val="1"/>
      <w:numFmt w:val="bullet"/>
      <w:lvlText w:val="•"/>
      <w:lvlJc w:val="left"/>
      <w:pPr>
        <w:tabs>
          <w:tab w:val="num" w:pos="720"/>
        </w:tabs>
        <w:ind w:left="720" w:hanging="360"/>
      </w:pPr>
      <w:rPr>
        <w:rFonts w:ascii="Arial" w:hAnsi="Arial" w:hint="default"/>
      </w:rPr>
    </w:lvl>
    <w:lvl w:ilvl="1" w:tplc="E416D360">
      <w:numFmt w:val="none"/>
      <w:lvlText w:val=""/>
      <w:lvlJc w:val="left"/>
      <w:pPr>
        <w:tabs>
          <w:tab w:val="num" w:pos="360"/>
        </w:tabs>
      </w:pPr>
    </w:lvl>
    <w:lvl w:ilvl="2" w:tplc="87540D1A" w:tentative="1">
      <w:start w:val="1"/>
      <w:numFmt w:val="bullet"/>
      <w:lvlText w:val="•"/>
      <w:lvlJc w:val="left"/>
      <w:pPr>
        <w:tabs>
          <w:tab w:val="num" w:pos="2160"/>
        </w:tabs>
        <w:ind w:left="2160" w:hanging="360"/>
      </w:pPr>
      <w:rPr>
        <w:rFonts w:ascii="Arial" w:hAnsi="Arial" w:hint="default"/>
      </w:rPr>
    </w:lvl>
    <w:lvl w:ilvl="3" w:tplc="DFA085AA" w:tentative="1">
      <w:start w:val="1"/>
      <w:numFmt w:val="bullet"/>
      <w:lvlText w:val="•"/>
      <w:lvlJc w:val="left"/>
      <w:pPr>
        <w:tabs>
          <w:tab w:val="num" w:pos="2880"/>
        </w:tabs>
        <w:ind w:left="2880" w:hanging="360"/>
      </w:pPr>
      <w:rPr>
        <w:rFonts w:ascii="Arial" w:hAnsi="Arial" w:hint="default"/>
      </w:rPr>
    </w:lvl>
    <w:lvl w:ilvl="4" w:tplc="645A6A58" w:tentative="1">
      <w:start w:val="1"/>
      <w:numFmt w:val="bullet"/>
      <w:lvlText w:val="•"/>
      <w:lvlJc w:val="left"/>
      <w:pPr>
        <w:tabs>
          <w:tab w:val="num" w:pos="3600"/>
        </w:tabs>
        <w:ind w:left="3600" w:hanging="360"/>
      </w:pPr>
      <w:rPr>
        <w:rFonts w:ascii="Arial" w:hAnsi="Arial" w:hint="default"/>
      </w:rPr>
    </w:lvl>
    <w:lvl w:ilvl="5" w:tplc="4D924F38" w:tentative="1">
      <w:start w:val="1"/>
      <w:numFmt w:val="bullet"/>
      <w:lvlText w:val="•"/>
      <w:lvlJc w:val="left"/>
      <w:pPr>
        <w:tabs>
          <w:tab w:val="num" w:pos="4320"/>
        </w:tabs>
        <w:ind w:left="4320" w:hanging="360"/>
      </w:pPr>
      <w:rPr>
        <w:rFonts w:ascii="Arial" w:hAnsi="Arial" w:hint="default"/>
      </w:rPr>
    </w:lvl>
    <w:lvl w:ilvl="6" w:tplc="656EC3E0" w:tentative="1">
      <w:start w:val="1"/>
      <w:numFmt w:val="bullet"/>
      <w:lvlText w:val="•"/>
      <w:lvlJc w:val="left"/>
      <w:pPr>
        <w:tabs>
          <w:tab w:val="num" w:pos="5040"/>
        </w:tabs>
        <w:ind w:left="5040" w:hanging="360"/>
      </w:pPr>
      <w:rPr>
        <w:rFonts w:ascii="Arial" w:hAnsi="Arial" w:hint="default"/>
      </w:rPr>
    </w:lvl>
    <w:lvl w:ilvl="7" w:tplc="1B784522" w:tentative="1">
      <w:start w:val="1"/>
      <w:numFmt w:val="bullet"/>
      <w:lvlText w:val="•"/>
      <w:lvlJc w:val="left"/>
      <w:pPr>
        <w:tabs>
          <w:tab w:val="num" w:pos="5760"/>
        </w:tabs>
        <w:ind w:left="5760" w:hanging="360"/>
      </w:pPr>
      <w:rPr>
        <w:rFonts w:ascii="Arial" w:hAnsi="Arial" w:hint="default"/>
      </w:rPr>
    </w:lvl>
    <w:lvl w:ilvl="8" w:tplc="8F5667C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558367F"/>
    <w:multiLevelType w:val="multilevel"/>
    <w:tmpl w:val="CB7A7C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BCE7B79"/>
    <w:multiLevelType w:val="multilevel"/>
    <w:tmpl w:val="52504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5F5740"/>
    <w:multiLevelType w:val="multilevel"/>
    <w:tmpl w:val="0618148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2F47A7"/>
    <w:multiLevelType w:val="hybridMultilevel"/>
    <w:tmpl w:val="DE947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B10FF3"/>
    <w:multiLevelType w:val="hybridMultilevel"/>
    <w:tmpl w:val="59741B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5FA553E"/>
    <w:multiLevelType w:val="hybridMultilevel"/>
    <w:tmpl w:val="F278778E"/>
    <w:lvl w:ilvl="0" w:tplc="FAE6DF32">
      <w:start w:val="1"/>
      <w:numFmt w:val="bullet"/>
      <w:lvlText w:val="•"/>
      <w:lvlJc w:val="left"/>
      <w:pPr>
        <w:tabs>
          <w:tab w:val="num" w:pos="720"/>
        </w:tabs>
        <w:ind w:left="720" w:hanging="360"/>
      </w:pPr>
      <w:rPr>
        <w:rFonts w:ascii="Arial" w:hAnsi="Arial" w:hint="default"/>
      </w:rPr>
    </w:lvl>
    <w:lvl w:ilvl="1" w:tplc="0FBE4C6C" w:tentative="1">
      <w:start w:val="1"/>
      <w:numFmt w:val="bullet"/>
      <w:lvlText w:val="•"/>
      <w:lvlJc w:val="left"/>
      <w:pPr>
        <w:tabs>
          <w:tab w:val="num" w:pos="1440"/>
        </w:tabs>
        <w:ind w:left="1440" w:hanging="360"/>
      </w:pPr>
      <w:rPr>
        <w:rFonts w:ascii="Arial" w:hAnsi="Arial" w:hint="default"/>
      </w:rPr>
    </w:lvl>
    <w:lvl w:ilvl="2" w:tplc="3C0015A0" w:tentative="1">
      <w:start w:val="1"/>
      <w:numFmt w:val="bullet"/>
      <w:lvlText w:val="•"/>
      <w:lvlJc w:val="left"/>
      <w:pPr>
        <w:tabs>
          <w:tab w:val="num" w:pos="2160"/>
        </w:tabs>
        <w:ind w:left="2160" w:hanging="360"/>
      </w:pPr>
      <w:rPr>
        <w:rFonts w:ascii="Arial" w:hAnsi="Arial" w:hint="default"/>
      </w:rPr>
    </w:lvl>
    <w:lvl w:ilvl="3" w:tplc="0E96D77C" w:tentative="1">
      <w:start w:val="1"/>
      <w:numFmt w:val="bullet"/>
      <w:lvlText w:val="•"/>
      <w:lvlJc w:val="left"/>
      <w:pPr>
        <w:tabs>
          <w:tab w:val="num" w:pos="2880"/>
        </w:tabs>
        <w:ind w:left="2880" w:hanging="360"/>
      </w:pPr>
      <w:rPr>
        <w:rFonts w:ascii="Arial" w:hAnsi="Arial" w:hint="default"/>
      </w:rPr>
    </w:lvl>
    <w:lvl w:ilvl="4" w:tplc="3DA68F62" w:tentative="1">
      <w:start w:val="1"/>
      <w:numFmt w:val="bullet"/>
      <w:lvlText w:val="•"/>
      <w:lvlJc w:val="left"/>
      <w:pPr>
        <w:tabs>
          <w:tab w:val="num" w:pos="3600"/>
        </w:tabs>
        <w:ind w:left="3600" w:hanging="360"/>
      </w:pPr>
      <w:rPr>
        <w:rFonts w:ascii="Arial" w:hAnsi="Arial" w:hint="default"/>
      </w:rPr>
    </w:lvl>
    <w:lvl w:ilvl="5" w:tplc="3BCC79EC" w:tentative="1">
      <w:start w:val="1"/>
      <w:numFmt w:val="bullet"/>
      <w:lvlText w:val="•"/>
      <w:lvlJc w:val="left"/>
      <w:pPr>
        <w:tabs>
          <w:tab w:val="num" w:pos="4320"/>
        </w:tabs>
        <w:ind w:left="4320" w:hanging="360"/>
      </w:pPr>
      <w:rPr>
        <w:rFonts w:ascii="Arial" w:hAnsi="Arial" w:hint="default"/>
      </w:rPr>
    </w:lvl>
    <w:lvl w:ilvl="6" w:tplc="BF7EE326" w:tentative="1">
      <w:start w:val="1"/>
      <w:numFmt w:val="bullet"/>
      <w:lvlText w:val="•"/>
      <w:lvlJc w:val="left"/>
      <w:pPr>
        <w:tabs>
          <w:tab w:val="num" w:pos="5040"/>
        </w:tabs>
        <w:ind w:left="5040" w:hanging="360"/>
      </w:pPr>
      <w:rPr>
        <w:rFonts w:ascii="Arial" w:hAnsi="Arial" w:hint="default"/>
      </w:rPr>
    </w:lvl>
    <w:lvl w:ilvl="7" w:tplc="B1AC8DF8" w:tentative="1">
      <w:start w:val="1"/>
      <w:numFmt w:val="bullet"/>
      <w:lvlText w:val="•"/>
      <w:lvlJc w:val="left"/>
      <w:pPr>
        <w:tabs>
          <w:tab w:val="num" w:pos="5760"/>
        </w:tabs>
        <w:ind w:left="5760" w:hanging="360"/>
      </w:pPr>
      <w:rPr>
        <w:rFonts w:ascii="Arial" w:hAnsi="Arial" w:hint="default"/>
      </w:rPr>
    </w:lvl>
    <w:lvl w:ilvl="8" w:tplc="0CB4CECC"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79E2EFD"/>
    <w:multiLevelType w:val="hybridMultilevel"/>
    <w:tmpl w:val="B3F68D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82B4FBF"/>
    <w:multiLevelType w:val="hybridMultilevel"/>
    <w:tmpl w:val="215E67B2"/>
    <w:lvl w:ilvl="0" w:tplc="8882632C">
      <w:start w:val="1"/>
      <w:numFmt w:val="bullet"/>
      <w:lvlText w:val="•"/>
      <w:lvlJc w:val="left"/>
      <w:pPr>
        <w:tabs>
          <w:tab w:val="num" w:pos="720"/>
        </w:tabs>
        <w:ind w:left="720" w:hanging="360"/>
      </w:pPr>
      <w:rPr>
        <w:rFonts w:ascii="Arial" w:hAnsi="Arial" w:hint="default"/>
      </w:rPr>
    </w:lvl>
    <w:lvl w:ilvl="1" w:tplc="2098EF84">
      <w:numFmt w:val="none"/>
      <w:lvlText w:val=""/>
      <w:lvlJc w:val="left"/>
      <w:pPr>
        <w:tabs>
          <w:tab w:val="num" w:pos="360"/>
        </w:tabs>
      </w:pPr>
    </w:lvl>
    <w:lvl w:ilvl="2" w:tplc="652A5598" w:tentative="1">
      <w:start w:val="1"/>
      <w:numFmt w:val="bullet"/>
      <w:lvlText w:val="•"/>
      <w:lvlJc w:val="left"/>
      <w:pPr>
        <w:tabs>
          <w:tab w:val="num" w:pos="2160"/>
        </w:tabs>
        <w:ind w:left="2160" w:hanging="360"/>
      </w:pPr>
      <w:rPr>
        <w:rFonts w:ascii="Arial" w:hAnsi="Arial" w:hint="default"/>
      </w:rPr>
    </w:lvl>
    <w:lvl w:ilvl="3" w:tplc="2376DAC2" w:tentative="1">
      <w:start w:val="1"/>
      <w:numFmt w:val="bullet"/>
      <w:lvlText w:val="•"/>
      <w:lvlJc w:val="left"/>
      <w:pPr>
        <w:tabs>
          <w:tab w:val="num" w:pos="2880"/>
        </w:tabs>
        <w:ind w:left="2880" w:hanging="360"/>
      </w:pPr>
      <w:rPr>
        <w:rFonts w:ascii="Arial" w:hAnsi="Arial" w:hint="default"/>
      </w:rPr>
    </w:lvl>
    <w:lvl w:ilvl="4" w:tplc="021E948C" w:tentative="1">
      <w:start w:val="1"/>
      <w:numFmt w:val="bullet"/>
      <w:lvlText w:val="•"/>
      <w:lvlJc w:val="left"/>
      <w:pPr>
        <w:tabs>
          <w:tab w:val="num" w:pos="3600"/>
        </w:tabs>
        <w:ind w:left="3600" w:hanging="360"/>
      </w:pPr>
      <w:rPr>
        <w:rFonts w:ascii="Arial" w:hAnsi="Arial" w:hint="default"/>
      </w:rPr>
    </w:lvl>
    <w:lvl w:ilvl="5" w:tplc="3634C63E" w:tentative="1">
      <w:start w:val="1"/>
      <w:numFmt w:val="bullet"/>
      <w:lvlText w:val="•"/>
      <w:lvlJc w:val="left"/>
      <w:pPr>
        <w:tabs>
          <w:tab w:val="num" w:pos="4320"/>
        </w:tabs>
        <w:ind w:left="4320" w:hanging="360"/>
      </w:pPr>
      <w:rPr>
        <w:rFonts w:ascii="Arial" w:hAnsi="Arial" w:hint="default"/>
      </w:rPr>
    </w:lvl>
    <w:lvl w:ilvl="6" w:tplc="C3FC3D5C" w:tentative="1">
      <w:start w:val="1"/>
      <w:numFmt w:val="bullet"/>
      <w:lvlText w:val="•"/>
      <w:lvlJc w:val="left"/>
      <w:pPr>
        <w:tabs>
          <w:tab w:val="num" w:pos="5040"/>
        </w:tabs>
        <w:ind w:left="5040" w:hanging="360"/>
      </w:pPr>
      <w:rPr>
        <w:rFonts w:ascii="Arial" w:hAnsi="Arial" w:hint="default"/>
      </w:rPr>
    </w:lvl>
    <w:lvl w:ilvl="7" w:tplc="8400868E" w:tentative="1">
      <w:start w:val="1"/>
      <w:numFmt w:val="bullet"/>
      <w:lvlText w:val="•"/>
      <w:lvlJc w:val="left"/>
      <w:pPr>
        <w:tabs>
          <w:tab w:val="num" w:pos="5760"/>
        </w:tabs>
        <w:ind w:left="5760" w:hanging="360"/>
      </w:pPr>
      <w:rPr>
        <w:rFonts w:ascii="Arial" w:hAnsi="Arial" w:hint="default"/>
      </w:rPr>
    </w:lvl>
    <w:lvl w:ilvl="8" w:tplc="6D306702"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9CD71E4"/>
    <w:multiLevelType w:val="hybridMultilevel"/>
    <w:tmpl w:val="20804C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A60334"/>
    <w:multiLevelType w:val="hybridMultilevel"/>
    <w:tmpl w:val="3F283ADE"/>
    <w:lvl w:ilvl="0" w:tplc="E67A9810">
      <w:start w:val="1"/>
      <w:numFmt w:val="bullet"/>
      <w:lvlText w:val="•"/>
      <w:lvlJc w:val="left"/>
      <w:pPr>
        <w:tabs>
          <w:tab w:val="num" w:pos="720"/>
        </w:tabs>
        <w:ind w:left="720" w:hanging="360"/>
      </w:pPr>
      <w:rPr>
        <w:rFonts w:ascii="Arial" w:hAnsi="Arial" w:hint="default"/>
      </w:rPr>
    </w:lvl>
    <w:lvl w:ilvl="1" w:tplc="4A145208" w:tentative="1">
      <w:start w:val="1"/>
      <w:numFmt w:val="bullet"/>
      <w:lvlText w:val="•"/>
      <w:lvlJc w:val="left"/>
      <w:pPr>
        <w:tabs>
          <w:tab w:val="num" w:pos="1440"/>
        </w:tabs>
        <w:ind w:left="1440" w:hanging="360"/>
      </w:pPr>
      <w:rPr>
        <w:rFonts w:ascii="Arial" w:hAnsi="Arial" w:hint="default"/>
      </w:rPr>
    </w:lvl>
    <w:lvl w:ilvl="2" w:tplc="4EEE789A" w:tentative="1">
      <w:start w:val="1"/>
      <w:numFmt w:val="bullet"/>
      <w:lvlText w:val="•"/>
      <w:lvlJc w:val="left"/>
      <w:pPr>
        <w:tabs>
          <w:tab w:val="num" w:pos="2160"/>
        </w:tabs>
        <w:ind w:left="2160" w:hanging="360"/>
      </w:pPr>
      <w:rPr>
        <w:rFonts w:ascii="Arial" w:hAnsi="Arial" w:hint="default"/>
      </w:rPr>
    </w:lvl>
    <w:lvl w:ilvl="3" w:tplc="28A0D022" w:tentative="1">
      <w:start w:val="1"/>
      <w:numFmt w:val="bullet"/>
      <w:lvlText w:val="•"/>
      <w:lvlJc w:val="left"/>
      <w:pPr>
        <w:tabs>
          <w:tab w:val="num" w:pos="2880"/>
        </w:tabs>
        <w:ind w:left="2880" w:hanging="360"/>
      </w:pPr>
      <w:rPr>
        <w:rFonts w:ascii="Arial" w:hAnsi="Arial" w:hint="default"/>
      </w:rPr>
    </w:lvl>
    <w:lvl w:ilvl="4" w:tplc="5F96832A" w:tentative="1">
      <w:start w:val="1"/>
      <w:numFmt w:val="bullet"/>
      <w:lvlText w:val="•"/>
      <w:lvlJc w:val="left"/>
      <w:pPr>
        <w:tabs>
          <w:tab w:val="num" w:pos="3600"/>
        </w:tabs>
        <w:ind w:left="3600" w:hanging="360"/>
      </w:pPr>
      <w:rPr>
        <w:rFonts w:ascii="Arial" w:hAnsi="Arial" w:hint="default"/>
      </w:rPr>
    </w:lvl>
    <w:lvl w:ilvl="5" w:tplc="59487CC4" w:tentative="1">
      <w:start w:val="1"/>
      <w:numFmt w:val="bullet"/>
      <w:lvlText w:val="•"/>
      <w:lvlJc w:val="left"/>
      <w:pPr>
        <w:tabs>
          <w:tab w:val="num" w:pos="4320"/>
        </w:tabs>
        <w:ind w:left="4320" w:hanging="360"/>
      </w:pPr>
      <w:rPr>
        <w:rFonts w:ascii="Arial" w:hAnsi="Arial" w:hint="default"/>
      </w:rPr>
    </w:lvl>
    <w:lvl w:ilvl="6" w:tplc="10C6BB62" w:tentative="1">
      <w:start w:val="1"/>
      <w:numFmt w:val="bullet"/>
      <w:lvlText w:val="•"/>
      <w:lvlJc w:val="left"/>
      <w:pPr>
        <w:tabs>
          <w:tab w:val="num" w:pos="5040"/>
        </w:tabs>
        <w:ind w:left="5040" w:hanging="360"/>
      </w:pPr>
      <w:rPr>
        <w:rFonts w:ascii="Arial" w:hAnsi="Arial" w:hint="default"/>
      </w:rPr>
    </w:lvl>
    <w:lvl w:ilvl="7" w:tplc="40345840" w:tentative="1">
      <w:start w:val="1"/>
      <w:numFmt w:val="bullet"/>
      <w:lvlText w:val="•"/>
      <w:lvlJc w:val="left"/>
      <w:pPr>
        <w:tabs>
          <w:tab w:val="num" w:pos="5760"/>
        </w:tabs>
        <w:ind w:left="5760" w:hanging="360"/>
      </w:pPr>
      <w:rPr>
        <w:rFonts w:ascii="Arial" w:hAnsi="Arial" w:hint="default"/>
      </w:rPr>
    </w:lvl>
    <w:lvl w:ilvl="8" w:tplc="F6C2FA10"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B35785F"/>
    <w:multiLevelType w:val="hybridMultilevel"/>
    <w:tmpl w:val="3FDAFA2E"/>
    <w:lvl w:ilvl="0" w:tplc="416E63BE">
      <w:start w:val="1"/>
      <w:numFmt w:val="bullet"/>
      <w:lvlText w:val="-"/>
      <w:lvlJc w:val="left"/>
      <w:pPr>
        <w:tabs>
          <w:tab w:val="num" w:pos="360"/>
        </w:tabs>
        <w:ind w:left="360" w:hanging="360"/>
      </w:pPr>
      <w:rPr>
        <w:rFonts w:ascii="Calibri" w:hAnsi="Calibri" w:cs="Times New Roman" w:hint="default"/>
      </w:rPr>
    </w:lvl>
    <w:lvl w:ilvl="1" w:tplc="075A4E60">
      <w:start w:val="1"/>
      <w:numFmt w:val="bullet"/>
      <w:lvlText w:val="-"/>
      <w:lvlJc w:val="left"/>
      <w:pPr>
        <w:tabs>
          <w:tab w:val="num" w:pos="1080"/>
        </w:tabs>
        <w:ind w:left="1080" w:hanging="360"/>
      </w:pPr>
      <w:rPr>
        <w:rFonts w:ascii="Calibri" w:hAnsi="Calibri" w:cs="Times New Roman" w:hint="default"/>
      </w:rPr>
    </w:lvl>
    <w:lvl w:ilvl="2" w:tplc="0A12BFAA">
      <w:start w:val="1"/>
      <w:numFmt w:val="bullet"/>
      <w:lvlText w:val="-"/>
      <w:lvlJc w:val="left"/>
      <w:pPr>
        <w:tabs>
          <w:tab w:val="num" w:pos="1800"/>
        </w:tabs>
        <w:ind w:left="1800" w:hanging="360"/>
      </w:pPr>
      <w:rPr>
        <w:rFonts w:ascii="Calibri" w:hAnsi="Calibri" w:cs="Times New Roman" w:hint="default"/>
      </w:rPr>
    </w:lvl>
    <w:lvl w:ilvl="3" w:tplc="8940C1DC">
      <w:start w:val="1"/>
      <w:numFmt w:val="bullet"/>
      <w:lvlText w:val="-"/>
      <w:lvlJc w:val="left"/>
      <w:pPr>
        <w:tabs>
          <w:tab w:val="num" w:pos="2520"/>
        </w:tabs>
        <w:ind w:left="2520" w:hanging="360"/>
      </w:pPr>
      <w:rPr>
        <w:rFonts w:ascii="Calibri" w:hAnsi="Calibri" w:cs="Times New Roman" w:hint="default"/>
      </w:rPr>
    </w:lvl>
    <w:lvl w:ilvl="4" w:tplc="B930F176">
      <w:start w:val="1"/>
      <w:numFmt w:val="bullet"/>
      <w:lvlText w:val="-"/>
      <w:lvlJc w:val="left"/>
      <w:pPr>
        <w:tabs>
          <w:tab w:val="num" w:pos="3240"/>
        </w:tabs>
        <w:ind w:left="3240" w:hanging="360"/>
      </w:pPr>
      <w:rPr>
        <w:rFonts w:ascii="Calibri" w:hAnsi="Calibri" w:cs="Times New Roman" w:hint="default"/>
      </w:rPr>
    </w:lvl>
    <w:lvl w:ilvl="5" w:tplc="FD648764">
      <w:start w:val="1"/>
      <w:numFmt w:val="bullet"/>
      <w:lvlText w:val="-"/>
      <w:lvlJc w:val="left"/>
      <w:pPr>
        <w:tabs>
          <w:tab w:val="num" w:pos="3960"/>
        </w:tabs>
        <w:ind w:left="3960" w:hanging="360"/>
      </w:pPr>
      <w:rPr>
        <w:rFonts w:ascii="Calibri" w:hAnsi="Calibri" w:cs="Times New Roman" w:hint="default"/>
      </w:rPr>
    </w:lvl>
    <w:lvl w:ilvl="6" w:tplc="9948E350">
      <w:start w:val="1"/>
      <w:numFmt w:val="bullet"/>
      <w:lvlText w:val="-"/>
      <w:lvlJc w:val="left"/>
      <w:pPr>
        <w:tabs>
          <w:tab w:val="num" w:pos="4680"/>
        </w:tabs>
        <w:ind w:left="4680" w:hanging="360"/>
      </w:pPr>
      <w:rPr>
        <w:rFonts w:ascii="Calibri" w:hAnsi="Calibri" w:cs="Times New Roman" w:hint="default"/>
      </w:rPr>
    </w:lvl>
    <w:lvl w:ilvl="7" w:tplc="368C2800">
      <w:start w:val="1"/>
      <w:numFmt w:val="bullet"/>
      <w:lvlText w:val="-"/>
      <w:lvlJc w:val="left"/>
      <w:pPr>
        <w:tabs>
          <w:tab w:val="num" w:pos="5400"/>
        </w:tabs>
        <w:ind w:left="5400" w:hanging="360"/>
      </w:pPr>
      <w:rPr>
        <w:rFonts w:ascii="Calibri" w:hAnsi="Calibri" w:cs="Times New Roman" w:hint="default"/>
      </w:rPr>
    </w:lvl>
    <w:lvl w:ilvl="8" w:tplc="E0A49666">
      <w:start w:val="1"/>
      <w:numFmt w:val="bullet"/>
      <w:lvlText w:val="-"/>
      <w:lvlJc w:val="left"/>
      <w:pPr>
        <w:tabs>
          <w:tab w:val="num" w:pos="6120"/>
        </w:tabs>
        <w:ind w:left="6120" w:hanging="360"/>
      </w:pPr>
      <w:rPr>
        <w:rFonts w:ascii="Calibri" w:hAnsi="Calibri" w:cs="Times New Roman" w:hint="default"/>
      </w:rPr>
    </w:lvl>
  </w:abstractNum>
  <w:abstractNum w:abstractNumId="49" w15:restartNumberingAfterBreak="0">
    <w:nsid w:val="7DD81178"/>
    <w:multiLevelType w:val="multilevel"/>
    <w:tmpl w:val="92CE616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FE076FA"/>
    <w:multiLevelType w:val="hybridMultilevel"/>
    <w:tmpl w:val="5148AEF4"/>
    <w:lvl w:ilvl="0" w:tplc="08090013">
      <w:start w:val="1"/>
      <w:numFmt w:val="upperRoman"/>
      <w:lvlText w:val="%1."/>
      <w:lvlJc w:val="right"/>
      <w:pPr>
        <w:tabs>
          <w:tab w:val="num" w:pos="720"/>
        </w:tabs>
        <w:ind w:left="720" w:hanging="360"/>
      </w:pPr>
      <w:rPr>
        <w:rFonts w:hint="default"/>
      </w:rPr>
    </w:lvl>
    <w:lvl w:ilvl="1" w:tplc="FE0CD11A" w:tentative="1">
      <w:start w:val="1"/>
      <w:numFmt w:val="bullet"/>
      <w:lvlText w:val="•"/>
      <w:lvlJc w:val="left"/>
      <w:pPr>
        <w:tabs>
          <w:tab w:val="num" w:pos="1440"/>
        </w:tabs>
        <w:ind w:left="1440" w:hanging="360"/>
      </w:pPr>
      <w:rPr>
        <w:rFonts w:ascii="Arial" w:hAnsi="Arial" w:hint="default"/>
      </w:rPr>
    </w:lvl>
    <w:lvl w:ilvl="2" w:tplc="5534FD4A" w:tentative="1">
      <w:start w:val="1"/>
      <w:numFmt w:val="bullet"/>
      <w:lvlText w:val="•"/>
      <w:lvlJc w:val="left"/>
      <w:pPr>
        <w:tabs>
          <w:tab w:val="num" w:pos="2160"/>
        </w:tabs>
        <w:ind w:left="2160" w:hanging="360"/>
      </w:pPr>
      <w:rPr>
        <w:rFonts w:ascii="Arial" w:hAnsi="Arial" w:hint="default"/>
      </w:rPr>
    </w:lvl>
    <w:lvl w:ilvl="3" w:tplc="AB903376" w:tentative="1">
      <w:start w:val="1"/>
      <w:numFmt w:val="bullet"/>
      <w:lvlText w:val="•"/>
      <w:lvlJc w:val="left"/>
      <w:pPr>
        <w:tabs>
          <w:tab w:val="num" w:pos="2880"/>
        </w:tabs>
        <w:ind w:left="2880" w:hanging="360"/>
      </w:pPr>
      <w:rPr>
        <w:rFonts w:ascii="Arial" w:hAnsi="Arial" w:hint="default"/>
      </w:rPr>
    </w:lvl>
    <w:lvl w:ilvl="4" w:tplc="8FDC733E" w:tentative="1">
      <w:start w:val="1"/>
      <w:numFmt w:val="bullet"/>
      <w:lvlText w:val="•"/>
      <w:lvlJc w:val="left"/>
      <w:pPr>
        <w:tabs>
          <w:tab w:val="num" w:pos="3600"/>
        </w:tabs>
        <w:ind w:left="3600" w:hanging="360"/>
      </w:pPr>
      <w:rPr>
        <w:rFonts w:ascii="Arial" w:hAnsi="Arial" w:hint="default"/>
      </w:rPr>
    </w:lvl>
    <w:lvl w:ilvl="5" w:tplc="B43CD4E0" w:tentative="1">
      <w:start w:val="1"/>
      <w:numFmt w:val="bullet"/>
      <w:lvlText w:val="•"/>
      <w:lvlJc w:val="left"/>
      <w:pPr>
        <w:tabs>
          <w:tab w:val="num" w:pos="4320"/>
        </w:tabs>
        <w:ind w:left="4320" w:hanging="360"/>
      </w:pPr>
      <w:rPr>
        <w:rFonts w:ascii="Arial" w:hAnsi="Arial" w:hint="default"/>
      </w:rPr>
    </w:lvl>
    <w:lvl w:ilvl="6" w:tplc="1E44A1BA" w:tentative="1">
      <w:start w:val="1"/>
      <w:numFmt w:val="bullet"/>
      <w:lvlText w:val="•"/>
      <w:lvlJc w:val="left"/>
      <w:pPr>
        <w:tabs>
          <w:tab w:val="num" w:pos="5040"/>
        </w:tabs>
        <w:ind w:left="5040" w:hanging="360"/>
      </w:pPr>
      <w:rPr>
        <w:rFonts w:ascii="Arial" w:hAnsi="Arial" w:hint="default"/>
      </w:rPr>
    </w:lvl>
    <w:lvl w:ilvl="7" w:tplc="C8C25662" w:tentative="1">
      <w:start w:val="1"/>
      <w:numFmt w:val="bullet"/>
      <w:lvlText w:val="•"/>
      <w:lvlJc w:val="left"/>
      <w:pPr>
        <w:tabs>
          <w:tab w:val="num" w:pos="5760"/>
        </w:tabs>
        <w:ind w:left="5760" w:hanging="360"/>
      </w:pPr>
      <w:rPr>
        <w:rFonts w:ascii="Arial" w:hAnsi="Arial" w:hint="default"/>
      </w:rPr>
    </w:lvl>
    <w:lvl w:ilvl="8" w:tplc="4104A6BC"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46"/>
  </w:num>
  <w:num w:numId="3">
    <w:abstractNumId w:val="41"/>
  </w:num>
  <w:num w:numId="4">
    <w:abstractNumId w:val="48"/>
  </w:num>
  <w:num w:numId="5">
    <w:abstractNumId w:val="16"/>
  </w:num>
  <w:num w:numId="6">
    <w:abstractNumId w:val="31"/>
  </w:num>
  <w:num w:numId="7">
    <w:abstractNumId w:val="34"/>
  </w:num>
  <w:num w:numId="8">
    <w:abstractNumId w:val="2"/>
  </w:num>
  <w:num w:numId="9">
    <w:abstractNumId w:val="6"/>
  </w:num>
  <w:num w:numId="10">
    <w:abstractNumId w:val="35"/>
  </w:num>
  <w:num w:numId="11">
    <w:abstractNumId w:val="19"/>
  </w:num>
  <w:num w:numId="12">
    <w:abstractNumId w:val="39"/>
  </w:num>
  <w:num w:numId="13">
    <w:abstractNumId w:val="15"/>
  </w:num>
  <w:num w:numId="14">
    <w:abstractNumId w:val="7"/>
  </w:num>
  <w:num w:numId="15">
    <w:abstractNumId w:val="28"/>
  </w:num>
  <w:num w:numId="16">
    <w:abstractNumId w:val="24"/>
  </w:num>
  <w:num w:numId="17">
    <w:abstractNumId w:val="38"/>
  </w:num>
  <w:num w:numId="18">
    <w:abstractNumId w:val="25"/>
  </w:num>
  <w:num w:numId="19">
    <w:abstractNumId w:val="14"/>
  </w:num>
  <w:num w:numId="20">
    <w:abstractNumId w:val="9"/>
  </w:num>
  <w:num w:numId="21">
    <w:abstractNumId w:val="17"/>
  </w:num>
  <w:num w:numId="22">
    <w:abstractNumId w:val="40"/>
  </w:num>
  <w:num w:numId="23">
    <w:abstractNumId w:val="11"/>
  </w:num>
  <w:num w:numId="24">
    <w:abstractNumId w:val="26"/>
  </w:num>
  <w:num w:numId="25">
    <w:abstractNumId w:val="49"/>
  </w:num>
  <w:num w:numId="26">
    <w:abstractNumId w:val="33"/>
  </w:num>
  <w:num w:numId="27">
    <w:abstractNumId w:val="3"/>
  </w:num>
  <w:num w:numId="28">
    <w:abstractNumId w:val="8"/>
  </w:num>
  <w:num w:numId="29">
    <w:abstractNumId w:val="21"/>
  </w:num>
  <w:num w:numId="30">
    <w:abstractNumId w:val="18"/>
  </w:num>
  <w:num w:numId="31">
    <w:abstractNumId w:val="22"/>
  </w:num>
  <w:num w:numId="32">
    <w:abstractNumId w:val="27"/>
  </w:num>
  <w:num w:numId="33">
    <w:abstractNumId w:val="4"/>
  </w:num>
  <w:num w:numId="34">
    <w:abstractNumId w:val="36"/>
  </w:num>
  <w:num w:numId="35">
    <w:abstractNumId w:val="23"/>
  </w:num>
  <w:num w:numId="36">
    <w:abstractNumId w:val="32"/>
  </w:num>
  <w:num w:numId="37">
    <w:abstractNumId w:val="42"/>
  </w:num>
  <w:num w:numId="38">
    <w:abstractNumId w:val="1"/>
  </w:num>
  <w:num w:numId="39">
    <w:abstractNumId w:val="44"/>
  </w:num>
  <w:num w:numId="40">
    <w:abstractNumId w:val="50"/>
  </w:num>
  <w:num w:numId="41">
    <w:abstractNumId w:val="5"/>
  </w:num>
  <w:num w:numId="42">
    <w:abstractNumId w:val="0"/>
  </w:num>
  <w:num w:numId="43">
    <w:abstractNumId w:val="12"/>
  </w:num>
  <w:num w:numId="44">
    <w:abstractNumId w:val="29"/>
  </w:num>
  <w:num w:numId="45">
    <w:abstractNumId w:val="20"/>
  </w:num>
  <w:num w:numId="46">
    <w:abstractNumId w:val="43"/>
  </w:num>
  <w:num w:numId="47">
    <w:abstractNumId w:val="47"/>
  </w:num>
  <w:num w:numId="48">
    <w:abstractNumId w:val="37"/>
  </w:num>
  <w:num w:numId="49">
    <w:abstractNumId w:val="45"/>
  </w:num>
  <w:num w:numId="50">
    <w:abstractNumId w:val="13"/>
  </w:num>
  <w:num w:numId="51">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982"/>
    <w:rsid w:val="00002A9D"/>
    <w:rsid w:val="000270E6"/>
    <w:rsid w:val="00091A4D"/>
    <w:rsid w:val="000E41B6"/>
    <w:rsid w:val="00152317"/>
    <w:rsid w:val="00152BBF"/>
    <w:rsid w:val="001A133F"/>
    <w:rsid w:val="001B6749"/>
    <w:rsid w:val="002155B2"/>
    <w:rsid w:val="002512D4"/>
    <w:rsid w:val="0029153A"/>
    <w:rsid w:val="00321AC9"/>
    <w:rsid w:val="00340747"/>
    <w:rsid w:val="003A6475"/>
    <w:rsid w:val="004728DA"/>
    <w:rsid w:val="0047399B"/>
    <w:rsid w:val="00475982"/>
    <w:rsid w:val="004901C2"/>
    <w:rsid w:val="004C1CE7"/>
    <w:rsid w:val="004E6BD9"/>
    <w:rsid w:val="005414BD"/>
    <w:rsid w:val="005529BA"/>
    <w:rsid w:val="00607C6F"/>
    <w:rsid w:val="00653CAA"/>
    <w:rsid w:val="00722218"/>
    <w:rsid w:val="00761175"/>
    <w:rsid w:val="008261CB"/>
    <w:rsid w:val="00965592"/>
    <w:rsid w:val="009D443F"/>
    <w:rsid w:val="009F1C70"/>
    <w:rsid w:val="00A02445"/>
    <w:rsid w:val="00A15F55"/>
    <w:rsid w:val="00B44901"/>
    <w:rsid w:val="00B53614"/>
    <w:rsid w:val="00BF0E69"/>
    <w:rsid w:val="00C37675"/>
    <w:rsid w:val="00C62CB6"/>
    <w:rsid w:val="00C73244"/>
    <w:rsid w:val="00CA5F3C"/>
    <w:rsid w:val="00CB14FC"/>
    <w:rsid w:val="00CF47E5"/>
    <w:rsid w:val="00D163B1"/>
    <w:rsid w:val="00D35F96"/>
    <w:rsid w:val="00D942A3"/>
    <w:rsid w:val="00E14296"/>
    <w:rsid w:val="00F14752"/>
    <w:rsid w:val="00F6272E"/>
    <w:rsid w:val="00F62C32"/>
    <w:rsid w:val="00F713DA"/>
    <w:rsid w:val="00FB3B9D"/>
    <w:rsid w:val="00FB610B"/>
    <w:rsid w:val="00FE59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BFC2A"/>
  <w15:chartTrackingRefBased/>
  <w15:docId w15:val="{D786B13A-B869-4F24-8509-507D24F21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1CB"/>
  </w:style>
  <w:style w:type="paragraph" w:styleId="Heading1">
    <w:name w:val="heading 1"/>
    <w:basedOn w:val="Normal"/>
    <w:next w:val="Normal"/>
    <w:link w:val="Heading1Char"/>
    <w:uiPriority w:val="9"/>
    <w:qFormat/>
    <w:rsid w:val="004728DA"/>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61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982"/>
    <w:pPr>
      <w:spacing w:after="0" w:line="240" w:lineRule="auto"/>
      <w:ind w:left="720"/>
    </w:pPr>
    <w:rPr>
      <w:rFonts w:ascii="Calibri" w:hAnsi="Calibri" w:cs="Calibri"/>
    </w:rPr>
  </w:style>
  <w:style w:type="character" w:styleId="Hyperlink">
    <w:name w:val="Hyperlink"/>
    <w:basedOn w:val="DefaultParagraphFont"/>
    <w:uiPriority w:val="99"/>
    <w:unhideWhenUsed/>
    <w:rsid w:val="00475982"/>
    <w:rPr>
      <w:color w:val="0563C1" w:themeColor="hyperlink"/>
      <w:u w:val="single"/>
    </w:rPr>
  </w:style>
  <w:style w:type="character" w:styleId="FollowedHyperlink">
    <w:name w:val="FollowedHyperlink"/>
    <w:basedOn w:val="DefaultParagraphFont"/>
    <w:uiPriority w:val="99"/>
    <w:semiHidden/>
    <w:unhideWhenUsed/>
    <w:rsid w:val="000270E6"/>
    <w:rPr>
      <w:color w:val="954F72" w:themeColor="followedHyperlink"/>
      <w:u w:val="single"/>
    </w:rPr>
  </w:style>
  <w:style w:type="character" w:customStyle="1" w:styleId="xelementtoproof">
    <w:name w:val="x_elementtoproof"/>
    <w:basedOn w:val="DefaultParagraphFont"/>
    <w:rsid w:val="00D35F96"/>
  </w:style>
  <w:style w:type="character" w:customStyle="1" w:styleId="Heading1Char">
    <w:name w:val="Heading 1 Char"/>
    <w:basedOn w:val="DefaultParagraphFont"/>
    <w:link w:val="Heading1"/>
    <w:uiPriority w:val="9"/>
    <w:rsid w:val="004728DA"/>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4728DA"/>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728DA"/>
    <w:rPr>
      <w:b/>
      <w:bCs/>
    </w:rPr>
  </w:style>
  <w:style w:type="paragraph" w:styleId="BalloonText">
    <w:name w:val="Balloon Text"/>
    <w:basedOn w:val="Normal"/>
    <w:link w:val="BalloonTextChar"/>
    <w:uiPriority w:val="99"/>
    <w:semiHidden/>
    <w:unhideWhenUsed/>
    <w:rsid w:val="00152B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BBF"/>
    <w:rPr>
      <w:rFonts w:ascii="Segoe UI" w:hAnsi="Segoe UI" w:cs="Segoe UI"/>
      <w:sz w:val="18"/>
      <w:szCs w:val="18"/>
    </w:rPr>
  </w:style>
  <w:style w:type="character" w:styleId="CommentReference">
    <w:name w:val="annotation reference"/>
    <w:basedOn w:val="DefaultParagraphFont"/>
    <w:uiPriority w:val="99"/>
    <w:semiHidden/>
    <w:unhideWhenUsed/>
    <w:rsid w:val="00152BBF"/>
    <w:rPr>
      <w:sz w:val="16"/>
      <w:szCs w:val="16"/>
    </w:rPr>
  </w:style>
  <w:style w:type="paragraph" w:styleId="CommentText">
    <w:name w:val="annotation text"/>
    <w:basedOn w:val="Normal"/>
    <w:link w:val="CommentTextChar"/>
    <w:uiPriority w:val="99"/>
    <w:semiHidden/>
    <w:unhideWhenUsed/>
    <w:rsid w:val="00152BBF"/>
    <w:pPr>
      <w:spacing w:line="240" w:lineRule="auto"/>
    </w:pPr>
    <w:rPr>
      <w:sz w:val="20"/>
      <w:szCs w:val="20"/>
    </w:rPr>
  </w:style>
  <w:style w:type="character" w:customStyle="1" w:styleId="CommentTextChar">
    <w:name w:val="Comment Text Char"/>
    <w:basedOn w:val="DefaultParagraphFont"/>
    <w:link w:val="CommentText"/>
    <w:uiPriority w:val="99"/>
    <w:semiHidden/>
    <w:rsid w:val="00152BBF"/>
    <w:rPr>
      <w:sz w:val="20"/>
      <w:szCs w:val="20"/>
    </w:rPr>
  </w:style>
  <w:style w:type="paragraph" w:styleId="CommentSubject">
    <w:name w:val="annotation subject"/>
    <w:basedOn w:val="CommentText"/>
    <w:next w:val="CommentText"/>
    <w:link w:val="CommentSubjectChar"/>
    <w:uiPriority w:val="99"/>
    <w:semiHidden/>
    <w:unhideWhenUsed/>
    <w:rsid w:val="00152BBF"/>
    <w:rPr>
      <w:b/>
      <w:bCs/>
    </w:rPr>
  </w:style>
  <w:style w:type="character" w:customStyle="1" w:styleId="CommentSubjectChar">
    <w:name w:val="Comment Subject Char"/>
    <w:basedOn w:val="CommentTextChar"/>
    <w:link w:val="CommentSubject"/>
    <w:uiPriority w:val="99"/>
    <w:semiHidden/>
    <w:rsid w:val="00152BBF"/>
    <w:rPr>
      <w:b/>
      <w:bCs/>
      <w:sz w:val="20"/>
      <w:szCs w:val="20"/>
    </w:rPr>
  </w:style>
  <w:style w:type="character" w:customStyle="1" w:styleId="Heading2Char">
    <w:name w:val="Heading 2 Char"/>
    <w:basedOn w:val="DefaultParagraphFont"/>
    <w:link w:val="Heading2"/>
    <w:uiPriority w:val="9"/>
    <w:rsid w:val="008261CB"/>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F14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E6BD9"/>
    <w:rPr>
      <w:color w:val="605E5C"/>
      <w:shd w:val="clear" w:color="auto" w:fill="E1DFDD"/>
    </w:rPr>
  </w:style>
  <w:style w:type="paragraph" w:customStyle="1" w:styleId="xmsonormal">
    <w:name w:val="x_msonormal"/>
    <w:basedOn w:val="Normal"/>
    <w:uiPriority w:val="99"/>
    <w:rsid w:val="00A02445"/>
    <w:pPr>
      <w:spacing w:after="0" w:line="240" w:lineRule="auto"/>
    </w:pPr>
    <w:rPr>
      <w:rFonts w:ascii="Calibri" w:hAnsi="Calibri" w:cs="Calibri"/>
      <w:lang w:eastAsia="en-GB"/>
    </w:rPr>
  </w:style>
  <w:style w:type="character" w:customStyle="1" w:styleId="normaltextrun">
    <w:name w:val="normaltextrun"/>
    <w:basedOn w:val="DefaultParagraphFont"/>
    <w:rsid w:val="00E14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95991">
      <w:bodyDiv w:val="1"/>
      <w:marLeft w:val="0"/>
      <w:marRight w:val="0"/>
      <w:marTop w:val="0"/>
      <w:marBottom w:val="0"/>
      <w:divBdr>
        <w:top w:val="none" w:sz="0" w:space="0" w:color="auto"/>
        <w:left w:val="none" w:sz="0" w:space="0" w:color="auto"/>
        <w:bottom w:val="none" w:sz="0" w:space="0" w:color="auto"/>
        <w:right w:val="none" w:sz="0" w:space="0" w:color="auto"/>
      </w:divBdr>
      <w:divsChild>
        <w:div w:id="1131558673">
          <w:marLeft w:val="360"/>
          <w:marRight w:val="0"/>
          <w:marTop w:val="200"/>
          <w:marBottom w:val="0"/>
          <w:divBdr>
            <w:top w:val="none" w:sz="0" w:space="0" w:color="auto"/>
            <w:left w:val="none" w:sz="0" w:space="0" w:color="auto"/>
            <w:bottom w:val="none" w:sz="0" w:space="0" w:color="auto"/>
            <w:right w:val="none" w:sz="0" w:space="0" w:color="auto"/>
          </w:divBdr>
        </w:div>
        <w:div w:id="839733259">
          <w:marLeft w:val="360"/>
          <w:marRight w:val="0"/>
          <w:marTop w:val="200"/>
          <w:marBottom w:val="0"/>
          <w:divBdr>
            <w:top w:val="none" w:sz="0" w:space="0" w:color="auto"/>
            <w:left w:val="none" w:sz="0" w:space="0" w:color="auto"/>
            <w:bottom w:val="none" w:sz="0" w:space="0" w:color="auto"/>
            <w:right w:val="none" w:sz="0" w:space="0" w:color="auto"/>
          </w:divBdr>
        </w:div>
        <w:div w:id="1282371995">
          <w:marLeft w:val="360"/>
          <w:marRight w:val="0"/>
          <w:marTop w:val="200"/>
          <w:marBottom w:val="0"/>
          <w:divBdr>
            <w:top w:val="none" w:sz="0" w:space="0" w:color="auto"/>
            <w:left w:val="none" w:sz="0" w:space="0" w:color="auto"/>
            <w:bottom w:val="none" w:sz="0" w:space="0" w:color="auto"/>
            <w:right w:val="none" w:sz="0" w:space="0" w:color="auto"/>
          </w:divBdr>
        </w:div>
        <w:div w:id="2025553059">
          <w:marLeft w:val="360"/>
          <w:marRight w:val="0"/>
          <w:marTop w:val="200"/>
          <w:marBottom w:val="0"/>
          <w:divBdr>
            <w:top w:val="none" w:sz="0" w:space="0" w:color="auto"/>
            <w:left w:val="none" w:sz="0" w:space="0" w:color="auto"/>
            <w:bottom w:val="none" w:sz="0" w:space="0" w:color="auto"/>
            <w:right w:val="none" w:sz="0" w:space="0" w:color="auto"/>
          </w:divBdr>
        </w:div>
        <w:div w:id="912394712">
          <w:marLeft w:val="360"/>
          <w:marRight w:val="0"/>
          <w:marTop w:val="200"/>
          <w:marBottom w:val="0"/>
          <w:divBdr>
            <w:top w:val="none" w:sz="0" w:space="0" w:color="auto"/>
            <w:left w:val="none" w:sz="0" w:space="0" w:color="auto"/>
            <w:bottom w:val="none" w:sz="0" w:space="0" w:color="auto"/>
            <w:right w:val="none" w:sz="0" w:space="0" w:color="auto"/>
          </w:divBdr>
        </w:div>
        <w:div w:id="133565301">
          <w:marLeft w:val="360"/>
          <w:marRight w:val="0"/>
          <w:marTop w:val="200"/>
          <w:marBottom w:val="0"/>
          <w:divBdr>
            <w:top w:val="none" w:sz="0" w:space="0" w:color="auto"/>
            <w:left w:val="none" w:sz="0" w:space="0" w:color="auto"/>
            <w:bottom w:val="none" w:sz="0" w:space="0" w:color="auto"/>
            <w:right w:val="none" w:sz="0" w:space="0" w:color="auto"/>
          </w:divBdr>
        </w:div>
        <w:div w:id="1549604569">
          <w:marLeft w:val="360"/>
          <w:marRight w:val="0"/>
          <w:marTop w:val="200"/>
          <w:marBottom w:val="0"/>
          <w:divBdr>
            <w:top w:val="none" w:sz="0" w:space="0" w:color="auto"/>
            <w:left w:val="none" w:sz="0" w:space="0" w:color="auto"/>
            <w:bottom w:val="none" w:sz="0" w:space="0" w:color="auto"/>
            <w:right w:val="none" w:sz="0" w:space="0" w:color="auto"/>
          </w:divBdr>
        </w:div>
      </w:divsChild>
    </w:div>
    <w:div w:id="71899898">
      <w:bodyDiv w:val="1"/>
      <w:marLeft w:val="0"/>
      <w:marRight w:val="0"/>
      <w:marTop w:val="0"/>
      <w:marBottom w:val="0"/>
      <w:divBdr>
        <w:top w:val="none" w:sz="0" w:space="0" w:color="auto"/>
        <w:left w:val="none" w:sz="0" w:space="0" w:color="auto"/>
        <w:bottom w:val="none" w:sz="0" w:space="0" w:color="auto"/>
        <w:right w:val="none" w:sz="0" w:space="0" w:color="auto"/>
      </w:divBdr>
    </w:div>
    <w:div w:id="141119767">
      <w:bodyDiv w:val="1"/>
      <w:marLeft w:val="0"/>
      <w:marRight w:val="0"/>
      <w:marTop w:val="0"/>
      <w:marBottom w:val="0"/>
      <w:divBdr>
        <w:top w:val="none" w:sz="0" w:space="0" w:color="auto"/>
        <w:left w:val="none" w:sz="0" w:space="0" w:color="auto"/>
        <w:bottom w:val="none" w:sz="0" w:space="0" w:color="auto"/>
        <w:right w:val="none" w:sz="0" w:space="0" w:color="auto"/>
      </w:divBdr>
      <w:divsChild>
        <w:div w:id="739641139">
          <w:marLeft w:val="274"/>
          <w:marRight w:val="0"/>
          <w:marTop w:val="0"/>
          <w:marBottom w:val="0"/>
          <w:divBdr>
            <w:top w:val="none" w:sz="0" w:space="0" w:color="auto"/>
            <w:left w:val="none" w:sz="0" w:space="0" w:color="auto"/>
            <w:bottom w:val="none" w:sz="0" w:space="0" w:color="auto"/>
            <w:right w:val="none" w:sz="0" w:space="0" w:color="auto"/>
          </w:divBdr>
        </w:div>
        <w:div w:id="1086265774">
          <w:marLeft w:val="274"/>
          <w:marRight w:val="0"/>
          <w:marTop w:val="0"/>
          <w:marBottom w:val="0"/>
          <w:divBdr>
            <w:top w:val="none" w:sz="0" w:space="0" w:color="auto"/>
            <w:left w:val="none" w:sz="0" w:space="0" w:color="auto"/>
            <w:bottom w:val="none" w:sz="0" w:space="0" w:color="auto"/>
            <w:right w:val="none" w:sz="0" w:space="0" w:color="auto"/>
          </w:divBdr>
        </w:div>
        <w:div w:id="2075346354">
          <w:marLeft w:val="994"/>
          <w:marRight w:val="0"/>
          <w:marTop w:val="0"/>
          <w:marBottom w:val="0"/>
          <w:divBdr>
            <w:top w:val="none" w:sz="0" w:space="0" w:color="auto"/>
            <w:left w:val="none" w:sz="0" w:space="0" w:color="auto"/>
            <w:bottom w:val="none" w:sz="0" w:space="0" w:color="auto"/>
            <w:right w:val="none" w:sz="0" w:space="0" w:color="auto"/>
          </w:divBdr>
        </w:div>
        <w:div w:id="646398874">
          <w:marLeft w:val="994"/>
          <w:marRight w:val="0"/>
          <w:marTop w:val="0"/>
          <w:marBottom w:val="0"/>
          <w:divBdr>
            <w:top w:val="none" w:sz="0" w:space="0" w:color="auto"/>
            <w:left w:val="none" w:sz="0" w:space="0" w:color="auto"/>
            <w:bottom w:val="none" w:sz="0" w:space="0" w:color="auto"/>
            <w:right w:val="none" w:sz="0" w:space="0" w:color="auto"/>
          </w:divBdr>
        </w:div>
        <w:div w:id="161631571">
          <w:marLeft w:val="994"/>
          <w:marRight w:val="0"/>
          <w:marTop w:val="0"/>
          <w:marBottom w:val="0"/>
          <w:divBdr>
            <w:top w:val="none" w:sz="0" w:space="0" w:color="auto"/>
            <w:left w:val="none" w:sz="0" w:space="0" w:color="auto"/>
            <w:bottom w:val="none" w:sz="0" w:space="0" w:color="auto"/>
            <w:right w:val="none" w:sz="0" w:space="0" w:color="auto"/>
          </w:divBdr>
        </w:div>
        <w:div w:id="1036277800">
          <w:marLeft w:val="994"/>
          <w:marRight w:val="0"/>
          <w:marTop w:val="0"/>
          <w:marBottom w:val="0"/>
          <w:divBdr>
            <w:top w:val="none" w:sz="0" w:space="0" w:color="auto"/>
            <w:left w:val="none" w:sz="0" w:space="0" w:color="auto"/>
            <w:bottom w:val="none" w:sz="0" w:space="0" w:color="auto"/>
            <w:right w:val="none" w:sz="0" w:space="0" w:color="auto"/>
          </w:divBdr>
        </w:div>
        <w:div w:id="1560630045">
          <w:marLeft w:val="994"/>
          <w:marRight w:val="0"/>
          <w:marTop w:val="0"/>
          <w:marBottom w:val="0"/>
          <w:divBdr>
            <w:top w:val="none" w:sz="0" w:space="0" w:color="auto"/>
            <w:left w:val="none" w:sz="0" w:space="0" w:color="auto"/>
            <w:bottom w:val="none" w:sz="0" w:space="0" w:color="auto"/>
            <w:right w:val="none" w:sz="0" w:space="0" w:color="auto"/>
          </w:divBdr>
        </w:div>
        <w:div w:id="106169005">
          <w:marLeft w:val="274"/>
          <w:marRight w:val="0"/>
          <w:marTop w:val="0"/>
          <w:marBottom w:val="0"/>
          <w:divBdr>
            <w:top w:val="none" w:sz="0" w:space="0" w:color="auto"/>
            <w:left w:val="none" w:sz="0" w:space="0" w:color="auto"/>
            <w:bottom w:val="none" w:sz="0" w:space="0" w:color="auto"/>
            <w:right w:val="none" w:sz="0" w:space="0" w:color="auto"/>
          </w:divBdr>
        </w:div>
        <w:div w:id="1372808484">
          <w:marLeft w:val="274"/>
          <w:marRight w:val="0"/>
          <w:marTop w:val="0"/>
          <w:marBottom w:val="0"/>
          <w:divBdr>
            <w:top w:val="none" w:sz="0" w:space="0" w:color="auto"/>
            <w:left w:val="none" w:sz="0" w:space="0" w:color="auto"/>
            <w:bottom w:val="none" w:sz="0" w:space="0" w:color="auto"/>
            <w:right w:val="none" w:sz="0" w:space="0" w:color="auto"/>
          </w:divBdr>
        </w:div>
        <w:div w:id="325282605">
          <w:marLeft w:val="274"/>
          <w:marRight w:val="0"/>
          <w:marTop w:val="0"/>
          <w:marBottom w:val="0"/>
          <w:divBdr>
            <w:top w:val="none" w:sz="0" w:space="0" w:color="auto"/>
            <w:left w:val="none" w:sz="0" w:space="0" w:color="auto"/>
            <w:bottom w:val="none" w:sz="0" w:space="0" w:color="auto"/>
            <w:right w:val="none" w:sz="0" w:space="0" w:color="auto"/>
          </w:divBdr>
        </w:div>
        <w:div w:id="1881898265">
          <w:marLeft w:val="274"/>
          <w:marRight w:val="0"/>
          <w:marTop w:val="0"/>
          <w:marBottom w:val="0"/>
          <w:divBdr>
            <w:top w:val="none" w:sz="0" w:space="0" w:color="auto"/>
            <w:left w:val="none" w:sz="0" w:space="0" w:color="auto"/>
            <w:bottom w:val="none" w:sz="0" w:space="0" w:color="auto"/>
            <w:right w:val="none" w:sz="0" w:space="0" w:color="auto"/>
          </w:divBdr>
        </w:div>
      </w:divsChild>
    </w:div>
    <w:div w:id="205801977">
      <w:bodyDiv w:val="1"/>
      <w:marLeft w:val="0"/>
      <w:marRight w:val="0"/>
      <w:marTop w:val="0"/>
      <w:marBottom w:val="0"/>
      <w:divBdr>
        <w:top w:val="none" w:sz="0" w:space="0" w:color="auto"/>
        <w:left w:val="none" w:sz="0" w:space="0" w:color="auto"/>
        <w:bottom w:val="none" w:sz="0" w:space="0" w:color="auto"/>
        <w:right w:val="none" w:sz="0" w:space="0" w:color="auto"/>
      </w:divBdr>
    </w:div>
    <w:div w:id="267464830">
      <w:bodyDiv w:val="1"/>
      <w:marLeft w:val="0"/>
      <w:marRight w:val="0"/>
      <w:marTop w:val="0"/>
      <w:marBottom w:val="0"/>
      <w:divBdr>
        <w:top w:val="none" w:sz="0" w:space="0" w:color="auto"/>
        <w:left w:val="none" w:sz="0" w:space="0" w:color="auto"/>
        <w:bottom w:val="none" w:sz="0" w:space="0" w:color="auto"/>
        <w:right w:val="none" w:sz="0" w:space="0" w:color="auto"/>
      </w:divBdr>
    </w:div>
    <w:div w:id="525944667">
      <w:bodyDiv w:val="1"/>
      <w:marLeft w:val="0"/>
      <w:marRight w:val="0"/>
      <w:marTop w:val="0"/>
      <w:marBottom w:val="0"/>
      <w:divBdr>
        <w:top w:val="none" w:sz="0" w:space="0" w:color="auto"/>
        <w:left w:val="none" w:sz="0" w:space="0" w:color="auto"/>
        <w:bottom w:val="none" w:sz="0" w:space="0" w:color="auto"/>
        <w:right w:val="none" w:sz="0" w:space="0" w:color="auto"/>
      </w:divBdr>
    </w:div>
    <w:div w:id="709457139">
      <w:bodyDiv w:val="1"/>
      <w:marLeft w:val="0"/>
      <w:marRight w:val="0"/>
      <w:marTop w:val="0"/>
      <w:marBottom w:val="0"/>
      <w:divBdr>
        <w:top w:val="none" w:sz="0" w:space="0" w:color="auto"/>
        <w:left w:val="none" w:sz="0" w:space="0" w:color="auto"/>
        <w:bottom w:val="none" w:sz="0" w:space="0" w:color="auto"/>
        <w:right w:val="none" w:sz="0" w:space="0" w:color="auto"/>
      </w:divBdr>
    </w:div>
    <w:div w:id="856237459">
      <w:bodyDiv w:val="1"/>
      <w:marLeft w:val="0"/>
      <w:marRight w:val="0"/>
      <w:marTop w:val="0"/>
      <w:marBottom w:val="0"/>
      <w:divBdr>
        <w:top w:val="none" w:sz="0" w:space="0" w:color="auto"/>
        <w:left w:val="none" w:sz="0" w:space="0" w:color="auto"/>
        <w:bottom w:val="none" w:sz="0" w:space="0" w:color="auto"/>
        <w:right w:val="none" w:sz="0" w:space="0" w:color="auto"/>
      </w:divBdr>
      <w:divsChild>
        <w:div w:id="1846943489">
          <w:marLeft w:val="274"/>
          <w:marRight w:val="0"/>
          <w:marTop w:val="0"/>
          <w:marBottom w:val="0"/>
          <w:divBdr>
            <w:top w:val="none" w:sz="0" w:space="0" w:color="auto"/>
            <w:left w:val="none" w:sz="0" w:space="0" w:color="auto"/>
            <w:bottom w:val="none" w:sz="0" w:space="0" w:color="auto"/>
            <w:right w:val="none" w:sz="0" w:space="0" w:color="auto"/>
          </w:divBdr>
        </w:div>
        <w:div w:id="900821909">
          <w:marLeft w:val="274"/>
          <w:marRight w:val="0"/>
          <w:marTop w:val="0"/>
          <w:marBottom w:val="0"/>
          <w:divBdr>
            <w:top w:val="none" w:sz="0" w:space="0" w:color="auto"/>
            <w:left w:val="none" w:sz="0" w:space="0" w:color="auto"/>
            <w:bottom w:val="none" w:sz="0" w:space="0" w:color="auto"/>
            <w:right w:val="none" w:sz="0" w:space="0" w:color="auto"/>
          </w:divBdr>
        </w:div>
        <w:div w:id="1445466954">
          <w:marLeft w:val="274"/>
          <w:marRight w:val="0"/>
          <w:marTop w:val="0"/>
          <w:marBottom w:val="0"/>
          <w:divBdr>
            <w:top w:val="none" w:sz="0" w:space="0" w:color="auto"/>
            <w:left w:val="none" w:sz="0" w:space="0" w:color="auto"/>
            <w:bottom w:val="none" w:sz="0" w:space="0" w:color="auto"/>
            <w:right w:val="none" w:sz="0" w:space="0" w:color="auto"/>
          </w:divBdr>
        </w:div>
        <w:div w:id="875969374">
          <w:marLeft w:val="274"/>
          <w:marRight w:val="0"/>
          <w:marTop w:val="0"/>
          <w:marBottom w:val="0"/>
          <w:divBdr>
            <w:top w:val="none" w:sz="0" w:space="0" w:color="auto"/>
            <w:left w:val="none" w:sz="0" w:space="0" w:color="auto"/>
            <w:bottom w:val="none" w:sz="0" w:space="0" w:color="auto"/>
            <w:right w:val="none" w:sz="0" w:space="0" w:color="auto"/>
          </w:divBdr>
        </w:div>
        <w:div w:id="1869642643">
          <w:marLeft w:val="274"/>
          <w:marRight w:val="0"/>
          <w:marTop w:val="0"/>
          <w:marBottom w:val="0"/>
          <w:divBdr>
            <w:top w:val="none" w:sz="0" w:space="0" w:color="auto"/>
            <w:left w:val="none" w:sz="0" w:space="0" w:color="auto"/>
            <w:bottom w:val="none" w:sz="0" w:space="0" w:color="auto"/>
            <w:right w:val="none" w:sz="0" w:space="0" w:color="auto"/>
          </w:divBdr>
        </w:div>
        <w:div w:id="255408279">
          <w:marLeft w:val="274"/>
          <w:marRight w:val="0"/>
          <w:marTop w:val="0"/>
          <w:marBottom w:val="0"/>
          <w:divBdr>
            <w:top w:val="none" w:sz="0" w:space="0" w:color="auto"/>
            <w:left w:val="none" w:sz="0" w:space="0" w:color="auto"/>
            <w:bottom w:val="none" w:sz="0" w:space="0" w:color="auto"/>
            <w:right w:val="none" w:sz="0" w:space="0" w:color="auto"/>
          </w:divBdr>
        </w:div>
        <w:div w:id="1123158875">
          <w:marLeft w:val="274"/>
          <w:marRight w:val="0"/>
          <w:marTop w:val="0"/>
          <w:marBottom w:val="0"/>
          <w:divBdr>
            <w:top w:val="none" w:sz="0" w:space="0" w:color="auto"/>
            <w:left w:val="none" w:sz="0" w:space="0" w:color="auto"/>
            <w:bottom w:val="none" w:sz="0" w:space="0" w:color="auto"/>
            <w:right w:val="none" w:sz="0" w:space="0" w:color="auto"/>
          </w:divBdr>
        </w:div>
      </w:divsChild>
    </w:div>
    <w:div w:id="965771043">
      <w:bodyDiv w:val="1"/>
      <w:marLeft w:val="0"/>
      <w:marRight w:val="0"/>
      <w:marTop w:val="0"/>
      <w:marBottom w:val="0"/>
      <w:divBdr>
        <w:top w:val="none" w:sz="0" w:space="0" w:color="auto"/>
        <w:left w:val="none" w:sz="0" w:space="0" w:color="auto"/>
        <w:bottom w:val="none" w:sz="0" w:space="0" w:color="auto"/>
        <w:right w:val="none" w:sz="0" w:space="0" w:color="auto"/>
      </w:divBdr>
      <w:divsChild>
        <w:div w:id="290743658">
          <w:marLeft w:val="274"/>
          <w:marRight w:val="0"/>
          <w:marTop w:val="0"/>
          <w:marBottom w:val="0"/>
          <w:divBdr>
            <w:top w:val="none" w:sz="0" w:space="0" w:color="auto"/>
            <w:left w:val="none" w:sz="0" w:space="0" w:color="auto"/>
            <w:bottom w:val="none" w:sz="0" w:space="0" w:color="auto"/>
            <w:right w:val="none" w:sz="0" w:space="0" w:color="auto"/>
          </w:divBdr>
        </w:div>
      </w:divsChild>
    </w:div>
    <w:div w:id="1025406020">
      <w:bodyDiv w:val="1"/>
      <w:marLeft w:val="0"/>
      <w:marRight w:val="0"/>
      <w:marTop w:val="0"/>
      <w:marBottom w:val="0"/>
      <w:divBdr>
        <w:top w:val="none" w:sz="0" w:space="0" w:color="auto"/>
        <w:left w:val="none" w:sz="0" w:space="0" w:color="auto"/>
        <w:bottom w:val="none" w:sz="0" w:space="0" w:color="auto"/>
        <w:right w:val="none" w:sz="0" w:space="0" w:color="auto"/>
      </w:divBdr>
      <w:divsChild>
        <w:div w:id="716125016">
          <w:marLeft w:val="274"/>
          <w:marRight w:val="0"/>
          <w:marTop w:val="0"/>
          <w:marBottom w:val="0"/>
          <w:divBdr>
            <w:top w:val="none" w:sz="0" w:space="0" w:color="auto"/>
            <w:left w:val="none" w:sz="0" w:space="0" w:color="auto"/>
            <w:bottom w:val="none" w:sz="0" w:space="0" w:color="auto"/>
            <w:right w:val="none" w:sz="0" w:space="0" w:color="auto"/>
          </w:divBdr>
        </w:div>
      </w:divsChild>
    </w:div>
    <w:div w:id="1061051692">
      <w:bodyDiv w:val="1"/>
      <w:marLeft w:val="0"/>
      <w:marRight w:val="0"/>
      <w:marTop w:val="0"/>
      <w:marBottom w:val="0"/>
      <w:divBdr>
        <w:top w:val="none" w:sz="0" w:space="0" w:color="auto"/>
        <w:left w:val="none" w:sz="0" w:space="0" w:color="auto"/>
        <w:bottom w:val="none" w:sz="0" w:space="0" w:color="auto"/>
        <w:right w:val="none" w:sz="0" w:space="0" w:color="auto"/>
      </w:divBdr>
      <w:divsChild>
        <w:div w:id="629090971">
          <w:marLeft w:val="360"/>
          <w:marRight w:val="0"/>
          <w:marTop w:val="0"/>
          <w:marBottom w:val="0"/>
          <w:divBdr>
            <w:top w:val="none" w:sz="0" w:space="0" w:color="auto"/>
            <w:left w:val="none" w:sz="0" w:space="0" w:color="auto"/>
            <w:bottom w:val="none" w:sz="0" w:space="0" w:color="auto"/>
            <w:right w:val="none" w:sz="0" w:space="0" w:color="auto"/>
          </w:divBdr>
        </w:div>
        <w:div w:id="607616652">
          <w:marLeft w:val="360"/>
          <w:marRight w:val="0"/>
          <w:marTop w:val="0"/>
          <w:marBottom w:val="0"/>
          <w:divBdr>
            <w:top w:val="none" w:sz="0" w:space="0" w:color="auto"/>
            <w:left w:val="none" w:sz="0" w:space="0" w:color="auto"/>
            <w:bottom w:val="none" w:sz="0" w:space="0" w:color="auto"/>
            <w:right w:val="none" w:sz="0" w:space="0" w:color="auto"/>
          </w:divBdr>
        </w:div>
        <w:div w:id="4405225">
          <w:marLeft w:val="1080"/>
          <w:marRight w:val="0"/>
          <w:marTop w:val="0"/>
          <w:marBottom w:val="0"/>
          <w:divBdr>
            <w:top w:val="none" w:sz="0" w:space="0" w:color="auto"/>
            <w:left w:val="none" w:sz="0" w:space="0" w:color="auto"/>
            <w:bottom w:val="none" w:sz="0" w:space="0" w:color="auto"/>
            <w:right w:val="none" w:sz="0" w:space="0" w:color="auto"/>
          </w:divBdr>
        </w:div>
        <w:div w:id="1546746891">
          <w:marLeft w:val="1080"/>
          <w:marRight w:val="0"/>
          <w:marTop w:val="0"/>
          <w:marBottom w:val="0"/>
          <w:divBdr>
            <w:top w:val="none" w:sz="0" w:space="0" w:color="auto"/>
            <w:left w:val="none" w:sz="0" w:space="0" w:color="auto"/>
            <w:bottom w:val="none" w:sz="0" w:space="0" w:color="auto"/>
            <w:right w:val="none" w:sz="0" w:space="0" w:color="auto"/>
          </w:divBdr>
        </w:div>
        <w:div w:id="1542324834">
          <w:marLeft w:val="1080"/>
          <w:marRight w:val="0"/>
          <w:marTop w:val="0"/>
          <w:marBottom w:val="0"/>
          <w:divBdr>
            <w:top w:val="none" w:sz="0" w:space="0" w:color="auto"/>
            <w:left w:val="none" w:sz="0" w:space="0" w:color="auto"/>
            <w:bottom w:val="none" w:sz="0" w:space="0" w:color="auto"/>
            <w:right w:val="none" w:sz="0" w:space="0" w:color="auto"/>
          </w:divBdr>
        </w:div>
        <w:div w:id="278730030">
          <w:marLeft w:val="360"/>
          <w:marRight w:val="0"/>
          <w:marTop w:val="0"/>
          <w:marBottom w:val="0"/>
          <w:divBdr>
            <w:top w:val="none" w:sz="0" w:space="0" w:color="auto"/>
            <w:left w:val="none" w:sz="0" w:space="0" w:color="auto"/>
            <w:bottom w:val="none" w:sz="0" w:space="0" w:color="auto"/>
            <w:right w:val="none" w:sz="0" w:space="0" w:color="auto"/>
          </w:divBdr>
        </w:div>
        <w:div w:id="1779786887">
          <w:marLeft w:val="360"/>
          <w:marRight w:val="0"/>
          <w:marTop w:val="0"/>
          <w:marBottom w:val="0"/>
          <w:divBdr>
            <w:top w:val="none" w:sz="0" w:space="0" w:color="auto"/>
            <w:left w:val="none" w:sz="0" w:space="0" w:color="auto"/>
            <w:bottom w:val="none" w:sz="0" w:space="0" w:color="auto"/>
            <w:right w:val="none" w:sz="0" w:space="0" w:color="auto"/>
          </w:divBdr>
        </w:div>
      </w:divsChild>
    </w:div>
    <w:div w:id="1221869067">
      <w:bodyDiv w:val="1"/>
      <w:marLeft w:val="0"/>
      <w:marRight w:val="0"/>
      <w:marTop w:val="0"/>
      <w:marBottom w:val="0"/>
      <w:divBdr>
        <w:top w:val="none" w:sz="0" w:space="0" w:color="auto"/>
        <w:left w:val="none" w:sz="0" w:space="0" w:color="auto"/>
        <w:bottom w:val="none" w:sz="0" w:space="0" w:color="auto"/>
        <w:right w:val="none" w:sz="0" w:space="0" w:color="auto"/>
      </w:divBdr>
      <w:divsChild>
        <w:div w:id="416055093">
          <w:marLeft w:val="360"/>
          <w:marRight w:val="0"/>
          <w:marTop w:val="200"/>
          <w:marBottom w:val="0"/>
          <w:divBdr>
            <w:top w:val="none" w:sz="0" w:space="0" w:color="auto"/>
            <w:left w:val="none" w:sz="0" w:space="0" w:color="auto"/>
            <w:bottom w:val="none" w:sz="0" w:space="0" w:color="auto"/>
            <w:right w:val="none" w:sz="0" w:space="0" w:color="auto"/>
          </w:divBdr>
        </w:div>
        <w:div w:id="1753313708">
          <w:marLeft w:val="360"/>
          <w:marRight w:val="0"/>
          <w:marTop w:val="200"/>
          <w:marBottom w:val="0"/>
          <w:divBdr>
            <w:top w:val="none" w:sz="0" w:space="0" w:color="auto"/>
            <w:left w:val="none" w:sz="0" w:space="0" w:color="auto"/>
            <w:bottom w:val="none" w:sz="0" w:space="0" w:color="auto"/>
            <w:right w:val="none" w:sz="0" w:space="0" w:color="auto"/>
          </w:divBdr>
        </w:div>
        <w:div w:id="1956935384">
          <w:marLeft w:val="360"/>
          <w:marRight w:val="0"/>
          <w:marTop w:val="200"/>
          <w:marBottom w:val="0"/>
          <w:divBdr>
            <w:top w:val="none" w:sz="0" w:space="0" w:color="auto"/>
            <w:left w:val="none" w:sz="0" w:space="0" w:color="auto"/>
            <w:bottom w:val="none" w:sz="0" w:space="0" w:color="auto"/>
            <w:right w:val="none" w:sz="0" w:space="0" w:color="auto"/>
          </w:divBdr>
        </w:div>
        <w:div w:id="1584297182">
          <w:marLeft w:val="360"/>
          <w:marRight w:val="0"/>
          <w:marTop w:val="200"/>
          <w:marBottom w:val="0"/>
          <w:divBdr>
            <w:top w:val="none" w:sz="0" w:space="0" w:color="auto"/>
            <w:left w:val="none" w:sz="0" w:space="0" w:color="auto"/>
            <w:bottom w:val="none" w:sz="0" w:space="0" w:color="auto"/>
            <w:right w:val="none" w:sz="0" w:space="0" w:color="auto"/>
          </w:divBdr>
        </w:div>
        <w:div w:id="1648851931">
          <w:marLeft w:val="360"/>
          <w:marRight w:val="0"/>
          <w:marTop w:val="200"/>
          <w:marBottom w:val="0"/>
          <w:divBdr>
            <w:top w:val="none" w:sz="0" w:space="0" w:color="auto"/>
            <w:left w:val="none" w:sz="0" w:space="0" w:color="auto"/>
            <w:bottom w:val="none" w:sz="0" w:space="0" w:color="auto"/>
            <w:right w:val="none" w:sz="0" w:space="0" w:color="auto"/>
          </w:divBdr>
        </w:div>
        <w:div w:id="1800803276">
          <w:marLeft w:val="360"/>
          <w:marRight w:val="0"/>
          <w:marTop w:val="200"/>
          <w:marBottom w:val="0"/>
          <w:divBdr>
            <w:top w:val="none" w:sz="0" w:space="0" w:color="auto"/>
            <w:left w:val="none" w:sz="0" w:space="0" w:color="auto"/>
            <w:bottom w:val="none" w:sz="0" w:space="0" w:color="auto"/>
            <w:right w:val="none" w:sz="0" w:space="0" w:color="auto"/>
          </w:divBdr>
        </w:div>
        <w:div w:id="586229869">
          <w:marLeft w:val="360"/>
          <w:marRight w:val="0"/>
          <w:marTop w:val="200"/>
          <w:marBottom w:val="0"/>
          <w:divBdr>
            <w:top w:val="none" w:sz="0" w:space="0" w:color="auto"/>
            <w:left w:val="none" w:sz="0" w:space="0" w:color="auto"/>
            <w:bottom w:val="none" w:sz="0" w:space="0" w:color="auto"/>
            <w:right w:val="none" w:sz="0" w:space="0" w:color="auto"/>
          </w:divBdr>
        </w:div>
        <w:div w:id="1761173909">
          <w:marLeft w:val="360"/>
          <w:marRight w:val="0"/>
          <w:marTop w:val="200"/>
          <w:marBottom w:val="0"/>
          <w:divBdr>
            <w:top w:val="none" w:sz="0" w:space="0" w:color="auto"/>
            <w:left w:val="none" w:sz="0" w:space="0" w:color="auto"/>
            <w:bottom w:val="none" w:sz="0" w:space="0" w:color="auto"/>
            <w:right w:val="none" w:sz="0" w:space="0" w:color="auto"/>
          </w:divBdr>
        </w:div>
        <w:div w:id="1228734483">
          <w:marLeft w:val="360"/>
          <w:marRight w:val="0"/>
          <w:marTop w:val="200"/>
          <w:marBottom w:val="0"/>
          <w:divBdr>
            <w:top w:val="none" w:sz="0" w:space="0" w:color="auto"/>
            <w:left w:val="none" w:sz="0" w:space="0" w:color="auto"/>
            <w:bottom w:val="none" w:sz="0" w:space="0" w:color="auto"/>
            <w:right w:val="none" w:sz="0" w:space="0" w:color="auto"/>
          </w:divBdr>
        </w:div>
        <w:div w:id="1781682457">
          <w:marLeft w:val="360"/>
          <w:marRight w:val="0"/>
          <w:marTop w:val="200"/>
          <w:marBottom w:val="0"/>
          <w:divBdr>
            <w:top w:val="none" w:sz="0" w:space="0" w:color="auto"/>
            <w:left w:val="none" w:sz="0" w:space="0" w:color="auto"/>
            <w:bottom w:val="none" w:sz="0" w:space="0" w:color="auto"/>
            <w:right w:val="none" w:sz="0" w:space="0" w:color="auto"/>
          </w:divBdr>
        </w:div>
      </w:divsChild>
    </w:div>
    <w:div w:id="1664963940">
      <w:bodyDiv w:val="1"/>
      <w:marLeft w:val="0"/>
      <w:marRight w:val="0"/>
      <w:marTop w:val="0"/>
      <w:marBottom w:val="0"/>
      <w:divBdr>
        <w:top w:val="none" w:sz="0" w:space="0" w:color="auto"/>
        <w:left w:val="none" w:sz="0" w:space="0" w:color="auto"/>
        <w:bottom w:val="none" w:sz="0" w:space="0" w:color="auto"/>
        <w:right w:val="none" w:sz="0" w:space="0" w:color="auto"/>
      </w:divBdr>
    </w:div>
    <w:div w:id="167106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e-to-data-protection/ico-codes-of-practice/data-sharing-a-code-of-practice/" TargetMode="External"/><Relationship Id="rId13" Type="http://schemas.openxmlformats.org/officeDocument/2006/relationships/hyperlink" Target="https://www.publichealthscotland.scot/news/2021/september/support-for-local-areas-to-develop-actions-on-child-poverty/" TargetMode="External"/><Relationship Id="rId18" Type="http://schemas.openxmlformats.org/officeDocument/2006/relationships/hyperlink" Target="https://www.improvementservice.org.uk/__data/assets/pdf_file/0023/8258/cpib-pm-principles.pdf" TargetMode="External"/><Relationship Id="rId3" Type="http://schemas.openxmlformats.org/officeDocument/2006/relationships/settings" Target="settings.xml"/><Relationship Id="rId21" Type="http://schemas.openxmlformats.org/officeDocument/2006/relationships/hyperlink" Target="https://evaluationsupportscotland.org.uk/resources/sit-indicator-bank-for-third-sector-outcomes-for-older-people/" TargetMode="External"/><Relationship Id="rId7" Type="http://schemas.openxmlformats.org/officeDocument/2006/relationships/hyperlink" Target="https://www.gov.uk/government/publications/digital-economy-act-2017-part-5-codes-of-practice/code-of-practice-for-public-authorities-disclosing-information-under-chapters-1-3-and-4-public-service-delivery-debt-and-fraud-of-part-5-of-the-di" TargetMode="External"/><Relationship Id="rId12" Type="http://schemas.openxmlformats.org/officeDocument/2006/relationships/hyperlink" Target="https://publichealthscotland.scot/publications/prioritise-child-poverty-a-data-and-systems-approach/" TargetMode="External"/><Relationship Id="rId17" Type="http://schemas.openxmlformats.org/officeDocument/2006/relationships/hyperlink" Target="https://www.gov.uk/government/publications/digital-economy-act-2017-part-5-codes-of-practice/code-of-practice-for-public-authorities-disclosing-information-under-chapters-1-3-and-4-public-service-delivery-debt-and-fraud-of-part-5-of-the-di" TargetMode="External"/><Relationship Id="rId2" Type="http://schemas.openxmlformats.org/officeDocument/2006/relationships/styles" Target="styles.xml"/><Relationship Id="rId16" Type="http://schemas.openxmlformats.org/officeDocument/2006/relationships/hyperlink" Target="https://www.gov.scot/publications/annex-1-child-poverty-scotland-act-2017-requirements/pages/3/" TargetMode="External"/><Relationship Id="rId20" Type="http://schemas.openxmlformats.org/officeDocument/2006/relationships/hyperlink" Target="https://www.improvementservice.org.uk/__data/assets/powerpoint_doc/0024/35457/Presentation-for-PSRB-Performance-Management-Sept-2014.pptx" TargetMode="External"/><Relationship Id="rId1" Type="http://schemas.openxmlformats.org/officeDocument/2006/relationships/numbering" Target="numbering.xml"/><Relationship Id="rId6" Type="http://schemas.openxmlformats.org/officeDocument/2006/relationships/hyperlink" Target="https://ico.org.uk/for-organisations/guide-to-data-protection/guide-to-the-general-data-protection-regulation-gdpr/lawful-basis-for-processing/public-task/" TargetMode="External"/><Relationship Id="rId11" Type="http://schemas.openxmlformats.org/officeDocument/2006/relationships/hyperlink" Target="https://youtu.be/X6oV_ojM5PM" TargetMode="External"/><Relationship Id="rId5" Type="http://schemas.openxmlformats.org/officeDocument/2006/relationships/hyperlink" Target="https://ico.org.uk/for-organisations/guide-to-data-protection/guide-to-the-general-data-protection-regulation-gdpr/lawful-basis-for-processing/public-task/" TargetMode="External"/><Relationship Id="rId15" Type="http://schemas.openxmlformats.org/officeDocument/2006/relationships/hyperlink" Target="https://www.skillsdevelopmentscotland.co.uk/what-we-do/scotlands-careers-services/16plus-data-hub/" TargetMode="External"/><Relationship Id="rId23" Type="http://schemas.openxmlformats.org/officeDocument/2006/relationships/theme" Target="theme/theme1.xml"/><Relationship Id="rId10" Type="http://schemas.openxmlformats.org/officeDocument/2006/relationships/hyperlink" Target="https://istanduk.org/savvi/" TargetMode="External"/><Relationship Id="rId19" Type="http://schemas.openxmlformats.org/officeDocument/2006/relationships/hyperlink" Target="https://www.improvementservice.org.uk/__data/assets/word_doc/0025/35458/Performance-Management-Paper-08.08.18.docx" TargetMode="External"/><Relationship Id="rId4" Type="http://schemas.openxmlformats.org/officeDocument/2006/relationships/webSettings" Target="webSettings.xml"/><Relationship Id="rId9" Type="http://schemas.openxmlformats.org/officeDocument/2006/relationships/hyperlink" Target="https://cciglasgow.org/Articles/Article3.html" TargetMode="External"/><Relationship Id="rId14" Type="http://schemas.openxmlformats.org/officeDocument/2006/relationships/hyperlink" Target="https://vimeo.com/58630709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12497</Words>
  <Characters>71238</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Lynch</dc:creator>
  <cp:keywords/>
  <dc:description/>
  <cp:lastModifiedBy>Emily Lynch</cp:lastModifiedBy>
  <cp:revision>2</cp:revision>
  <dcterms:created xsi:type="dcterms:W3CDTF">2022-11-08T16:59:00Z</dcterms:created>
  <dcterms:modified xsi:type="dcterms:W3CDTF">2022-11-08T16:59:00Z</dcterms:modified>
</cp:coreProperties>
</file>