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D717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5E6C7DDE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547A992C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54088081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007F628C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01545F59" w14:textId="1EEE76EB" w:rsidR="00E50AFD" w:rsidRPr="00E50AFD" w:rsidRDefault="006028BB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  <w:r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  <w:t>Workforce Profiling</w:t>
      </w:r>
    </w:p>
    <w:p w14:paraId="22369A54" w14:textId="77777777" w:rsidR="006028BB" w:rsidRPr="006028BB" w:rsidRDefault="006028BB" w:rsidP="006028BB">
      <w:pPr>
        <w:pStyle w:val="NormalWeb"/>
        <w:rPr>
          <w:rFonts w:asciiTheme="minorHAnsi" w:hAnsiTheme="minorHAnsi" w:cstheme="minorHAnsi"/>
        </w:rPr>
      </w:pPr>
      <w:r w:rsidRPr="006028BB">
        <w:rPr>
          <w:rFonts w:asciiTheme="minorHAnsi" w:hAnsiTheme="minorHAnsi" w:cstheme="minorHAnsi"/>
        </w:rPr>
        <w:t>Workforce profiling brings together a range of data about the make-up of the workforce.  This can be used along with data about how the workforce will change, to develop actions and change solutions for the workforce plan.</w:t>
      </w:r>
    </w:p>
    <w:p w14:paraId="23CB4416" w14:textId="77777777" w:rsidR="006028BB" w:rsidRPr="006028BB" w:rsidRDefault="006028BB" w:rsidP="006028BB">
      <w:pPr>
        <w:pStyle w:val="NormalWeb"/>
        <w:rPr>
          <w:rFonts w:asciiTheme="minorHAnsi" w:hAnsiTheme="minorHAnsi" w:cstheme="minorHAnsi"/>
        </w:rPr>
      </w:pPr>
      <w:r w:rsidRPr="006028BB">
        <w:rPr>
          <w:rFonts w:asciiTheme="minorHAnsi" w:hAnsiTheme="minorHAnsi" w:cstheme="minorHAnsi"/>
        </w:rPr>
        <w:t xml:space="preserve">Workforce profiles will </w:t>
      </w:r>
      <w:proofErr w:type="gramStart"/>
      <w:r w:rsidRPr="006028BB">
        <w:rPr>
          <w:rFonts w:asciiTheme="minorHAnsi" w:hAnsiTheme="minorHAnsi" w:cstheme="minorHAnsi"/>
        </w:rPr>
        <w:t>vary</w:t>
      </w:r>
      <w:proofErr w:type="gramEnd"/>
      <w:r w:rsidRPr="006028BB">
        <w:rPr>
          <w:rFonts w:asciiTheme="minorHAnsi" w:hAnsiTheme="minorHAnsi" w:cstheme="minorHAnsi"/>
        </w:rPr>
        <w:t xml:space="preserve"> and different factors can be considered to highlight staffing implications and potential or current ‘hot spots’.  For example: </w:t>
      </w:r>
    </w:p>
    <w:p w14:paraId="47FFC2FA" w14:textId="77777777" w:rsidR="006028BB" w:rsidRPr="006028BB" w:rsidRDefault="006028BB" w:rsidP="006028B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028BB">
        <w:rPr>
          <w:rFonts w:asciiTheme="minorHAnsi" w:hAnsiTheme="minorHAnsi" w:cstheme="minorHAnsi"/>
        </w:rPr>
        <w:t xml:space="preserve">A diversity profile that is not reflective of local population.  Is there an untapped source of employees from a particular section of the local population which if accessed could solve a skills shortage? If so, what are the barriers in their way? </w:t>
      </w:r>
    </w:p>
    <w:p w14:paraId="39E7D97F" w14:textId="77777777" w:rsidR="006028BB" w:rsidRPr="006028BB" w:rsidRDefault="006028BB" w:rsidP="006028B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028BB">
        <w:rPr>
          <w:rFonts w:asciiTheme="minorHAnsi" w:hAnsiTheme="minorHAnsi" w:cstheme="minorHAnsi"/>
        </w:rPr>
        <w:t>Sickness rates that indicate wellbeing issues.</w:t>
      </w:r>
    </w:p>
    <w:p w14:paraId="0E8FAD77" w14:textId="77777777" w:rsidR="006028BB" w:rsidRPr="006028BB" w:rsidRDefault="006028BB" w:rsidP="006028B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028BB">
        <w:rPr>
          <w:rFonts w:asciiTheme="minorHAnsi" w:hAnsiTheme="minorHAnsi" w:cstheme="minorHAnsi"/>
        </w:rPr>
        <w:t xml:space="preserve">A gender profile that indicates potential inequality of opportunity.  </w:t>
      </w:r>
    </w:p>
    <w:p w14:paraId="38FE56EB" w14:textId="77777777" w:rsidR="006028BB" w:rsidRPr="006028BB" w:rsidRDefault="006028BB" w:rsidP="006028B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028BB">
        <w:rPr>
          <w:rFonts w:asciiTheme="minorHAnsi" w:hAnsiTheme="minorHAnsi" w:cstheme="minorHAnsi"/>
        </w:rPr>
        <w:t xml:space="preserve">An age profile that shows an impending bulge in retirements leaving staff and skills shortages.  </w:t>
      </w:r>
    </w:p>
    <w:p w14:paraId="1059410D" w14:textId="77777777" w:rsidR="006028BB" w:rsidRPr="006028BB" w:rsidRDefault="006028BB" w:rsidP="006028B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6028BB">
        <w:rPr>
          <w:rFonts w:asciiTheme="minorHAnsi" w:hAnsiTheme="minorHAnsi" w:cstheme="minorHAnsi"/>
        </w:rPr>
        <w:t xml:space="preserve">A length of service profile that shows areas with high numbers of leavers within first 4 months or after two years which may be indicative of poor induction or an inability to retain employees.  </w:t>
      </w:r>
    </w:p>
    <w:p w14:paraId="5B07C5D3" w14:textId="4B2154BB" w:rsidR="00E50AFD" w:rsidRPr="006028BB" w:rsidRDefault="006028BB" w:rsidP="006028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6028BB">
        <w:rPr>
          <w:rFonts w:cstheme="minorHAnsi"/>
          <w:sz w:val="24"/>
          <w:szCs w:val="24"/>
        </w:rPr>
        <w:t xml:space="preserve">Workforce data can be used to research operational issues which require workforce solutions </w:t>
      </w:r>
      <w:proofErr w:type="gramStart"/>
      <w:r w:rsidRPr="006028BB">
        <w:rPr>
          <w:rFonts w:cstheme="minorHAnsi"/>
          <w:sz w:val="24"/>
          <w:szCs w:val="24"/>
        </w:rPr>
        <w:t>e.g.</w:t>
      </w:r>
      <w:proofErr w:type="gramEnd"/>
      <w:r w:rsidRPr="006028BB">
        <w:rPr>
          <w:rFonts w:cstheme="minorHAnsi"/>
          <w:sz w:val="24"/>
          <w:szCs w:val="24"/>
        </w:rPr>
        <w:t xml:space="preserve"> reasons why staff are leaving, or low applications for critical posts, service changes requiring different contractual hours or changes in location</w:t>
      </w:r>
    </w:p>
    <w:p w14:paraId="06E30A48" w14:textId="77777777" w:rsidR="00E50AFD" w:rsidRPr="006028BB" w:rsidRDefault="00E50AFD" w:rsidP="00E50AF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DBB3C26" w14:textId="77777777" w:rsidR="006028BB" w:rsidRPr="006028BB" w:rsidRDefault="00E50AFD" w:rsidP="006028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E50AF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245"/>
        <w:gridCol w:w="3147"/>
      </w:tblGrid>
      <w:tr w:rsidR="006028BB" w:rsidRPr="006028BB" w14:paraId="79DEFB05" w14:textId="77777777" w:rsidTr="006028BB">
        <w:trPr>
          <w:cantSplit/>
        </w:trPr>
        <w:tc>
          <w:tcPr>
            <w:tcW w:w="10343" w:type="dxa"/>
            <w:gridSpan w:val="3"/>
            <w:shd w:val="clear" w:color="auto" w:fill="00324F"/>
          </w:tcPr>
          <w:p w14:paraId="52FF522C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GB"/>
              </w:rPr>
            </w:pPr>
          </w:p>
          <w:p w14:paraId="2800500E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Workforce profiling</w:t>
            </w:r>
          </w:p>
          <w:p w14:paraId="2F0BFC68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  <w:tr w:rsidR="006028BB" w:rsidRPr="006028BB" w14:paraId="2985AD35" w14:textId="77777777" w:rsidTr="006028BB">
        <w:tc>
          <w:tcPr>
            <w:tcW w:w="1951" w:type="dxa"/>
            <w:shd w:val="clear" w:color="auto" w:fill="00324F"/>
          </w:tcPr>
          <w:p w14:paraId="7A50D577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GB"/>
              </w:rPr>
              <w:t>Area</w:t>
            </w:r>
          </w:p>
        </w:tc>
        <w:tc>
          <w:tcPr>
            <w:tcW w:w="5245" w:type="dxa"/>
            <w:shd w:val="clear" w:color="auto" w:fill="00324F"/>
          </w:tcPr>
          <w:p w14:paraId="0A1A30BE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Questions</w:t>
            </w:r>
          </w:p>
        </w:tc>
        <w:tc>
          <w:tcPr>
            <w:tcW w:w="3147" w:type="dxa"/>
            <w:shd w:val="clear" w:color="auto" w:fill="00324F"/>
          </w:tcPr>
          <w:p w14:paraId="29CC9BE7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b/>
                <w:color w:val="FFFFFF" w:themeColor="background1"/>
                <w:sz w:val="24"/>
                <w:szCs w:val="24"/>
                <w:lang w:eastAsia="en-GB"/>
              </w:rPr>
              <w:t>Supporting Information - examples</w:t>
            </w:r>
          </w:p>
        </w:tc>
      </w:tr>
      <w:tr w:rsidR="006028BB" w:rsidRPr="006028BB" w14:paraId="72117A50" w14:textId="77777777" w:rsidTr="006028BB">
        <w:trPr>
          <w:trHeight w:val="853"/>
        </w:trPr>
        <w:tc>
          <w:tcPr>
            <w:tcW w:w="1951" w:type="dxa"/>
          </w:tcPr>
          <w:p w14:paraId="08529E41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General workforce profile – for monitoring trends and understanding the potential impact of change.</w:t>
            </w:r>
          </w:p>
        </w:tc>
        <w:tc>
          <w:tcPr>
            <w:tcW w:w="5245" w:type="dxa"/>
          </w:tcPr>
          <w:p w14:paraId="648DC87A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How many staff? </w:t>
            </w:r>
          </w:p>
          <w:p w14:paraId="2E50D83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Gender? </w:t>
            </w:r>
          </w:p>
          <w:p w14:paraId="6E84C040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Hours of work? </w:t>
            </w:r>
          </w:p>
          <w:p w14:paraId="75D04F82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Diversity? </w:t>
            </w:r>
          </w:p>
          <w:p w14:paraId="53871C98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FT or PT? </w:t>
            </w:r>
          </w:p>
          <w:p w14:paraId="0160E27E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Roles/jobs?</w:t>
            </w:r>
          </w:p>
          <w:p w14:paraId="7CDDA521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Areas of business?</w:t>
            </w:r>
          </w:p>
          <w:p w14:paraId="5E14ED61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Length of service?</w:t>
            </w:r>
          </w:p>
          <w:p w14:paraId="63E39A7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Costs including </w:t>
            </w:r>
            <w:proofErr w:type="gramStart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overtime?</w:t>
            </w:r>
            <w:proofErr w:type="gramEnd"/>
          </w:p>
          <w:p w14:paraId="2DAAE86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Sickness rates?</w:t>
            </w:r>
          </w:p>
        </w:tc>
        <w:tc>
          <w:tcPr>
            <w:tcW w:w="3147" w:type="dxa"/>
          </w:tcPr>
          <w:p w14:paraId="10A3AC30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Payroll and HR systems </w:t>
            </w:r>
          </w:p>
        </w:tc>
      </w:tr>
      <w:tr w:rsidR="006028BB" w:rsidRPr="006028BB" w14:paraId="71229B80" w14:textId="77777777" w:rsidTr="006028BB">
        <w:trPr>
          <w:trHeight w:val="853"/>
        </w:trPr>
        <w:tc>
          <w:tcPr>
            <w:tcW w:w="1951" w:type="dxa"/>
          </w:tcPr>
          <w:p w14:paraId="238E36D7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Recruitment and selection </w:t>
            </w:r>
          </w:p>
          <w:p w14:paraId="5B2A04C7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– number, </w:t>
            </w:r>
            <w:proofErr w:type="gramStart"/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pool</w:t>
            </w:r>
            <w:proofErr w:type="gramEnd"/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 xml:space="preserve"> and quality of staff</w:t>
            </w:r>
          </w:p>
        </w:tc>
        <w:tc>
          <w:tcPr>
            <w:tcW w:w="5245" w:type="dxa"/>
          </w:tcPr>
          <w:p w14:paraId="76062FB7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Are there/will there be sufficient quality of staff?</w:t>
            </w:r>
          </w:p>
          <w:p w14:paraId="66616F1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2F0EAFA" w14:textId="22D6C78D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Number of staff required</w:t>
            </w:r>
          </w:p>
          <w:p w14:paraId="32558833" w14:textId="77777777" w:rsid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F73562F" w14:textId="64B296F1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Age profiles – are enough staff going to be in place, or retire?</w:t>
            </w:r>
          </w:p>
          <w:p w14:paraId="5FD925C7" w14:textId="77777777" w:rsid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36BA96C" w14:textId="62EAAC19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Advertising and recruitment methods, Selection methods, </w:t>
            </w:r>
            <w:proofErr w:type="gramStart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Image</w:t>
            </w:r>
            <w:proofErr w:type="gramEnd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promotion of the post/role</w:t>
            </w:r>
          </w:p>
          <w:p w14:paraId="044F9A6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CE45416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External supply of staff</w:t>
            </w:r>
          </w:p>
          <w:p w14:paraId="5E7ABFE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Pool of staff from local colleges etc</w:t>
            </w:r>
          </w:p>
          <w:p w14:paraId="26221C0D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Competition from external bodies</w:t>
            </w:r>
          </w:p>
          <w:p w14:paraId="059AEB9A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7" w:type="dxa"/>
          </w:tcPr>
          <w:p w14:paraId="234D345C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No of applications, Location of applicants, time to fill vacancies</w:t>
            </w:r>
          </w:p>
          <w:p w14:paraId="63DE76DA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Qualifications and numbers being supplied.</w:t>
            </w:r>
          </w:p>
          <w:p w14:paraId="68826355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t>Age profiles</w:t>
            </w:r>
          </w:p>
          <w:p w14:paraId="7FAF4791" w14:textId="77777777" w:rsid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D29A16C" w14:textId="288B364F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Population profiles – what is the make-up of the potential staff available?</w:t>
            </w:r>
          </w:p>
        </w:tc>
      </w:tr>
      <w:tr w:rsidR="006028BB" w:rsidRPr="006028BB" w14:paraId="1D6945A2" w14:textId="77777777" w:rsidTr="006028BB">
        <w:tc>
          <w:tcPr>
            <w:tcW w:w="1951" w:type="dxa"/>
          </w:tcPr>
          <w:p w14:paraId="57B473A9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lastRenderedPageBreak/>
              <w:t>Retention</w:t>
            </w:r>
          </w:p>
        </w:tc>
        <w:tc>
          <w:tcPr>
            <w:tcW w:w="5245" w:type="dxa"/>
          </w:tcPr>
          <w:p w14:paraId="40C60578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Exit interviews – why are people leaving?</w:t>
            </w:r>
          </w:p>
          <w:p w14:paraId="07CC95BA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E98BED6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Redundancy, Redeployment, Early retirements</w:t>
            </w: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ab/>
            </w:r>
          </w:p>
        </w:tc>
        <w:tc>
          <w:tcPr>
            <w:tcW w:w="3147" w:type="dxa"/>
          </w:tcPr>
          <w:p w14:paraId="54DDEF68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Turnover, time in work</w:t>
            </w:r>
          </w:p>
          <w:p w14:paraId="6136568D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Exit reasons</w:t>
            </w:r>
          </w:p>
          <w:p w14:paraId="7CA33D08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028BB" w:rsidRPr="006028BB" w14:paraId="55BA5ACC" w14:textId="77777777" w:rsidTr="006028BB">
        <w:tc>
          <w:tcPr>
            <w:tcW w:w="1951" w:type="dxa"/>
          </w:tcPr>
          <w:p w14:paraId="6AA116B7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Contractual and workplace arrangements</w:t>
            </w:r>
          </w:p>
        </w:tc>
        <w:tc>
          <w:tcPr>
            <w:tcW w:w="5245" w:type="dxa"/>
          </w:tcPr>
          <w:p w14:paraId="40F15388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Contractual issues: Terms and </w:t>
            </w:r>
            <w:proofErr w:type="gramStart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conditions,  working</w:t>
            </w:r>
            <w:proofErr w:type="gramEnd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hours, flexible working</w:t>
            </w:r>
          </w:p>
          <w:p w14:paraId="051E5536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Workload activity: ratios, </w:t>
            </w:r>
            <w:proofErr w:type="gramStart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health</w:t>
            </w:r>
            <w:proofErr w:type="gramEnd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wellbeing</w:t>
            </w:r>
          </w:p>
          <w:p w14:paraId="77B7B30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7" w:type="dxa"/>
          </w:tcPr>
          <w:p w14:paraId="5D5D3A5D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Grades, contracts</w:t>
            </w:r>
          </w:p>
          <w:p w14:paraId="5C94DB9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6028BB" w:rsidRPr="006028BB" w14:paraId="13B5692C" w14:textId="77777777" w:rsidTr="006028BB">
        <w:tc>
          <w:tcPr>
            <w:tcW w:w="1951" w:type="dxa"/>
          </w:tcPr>
          <w:p w14:paraId="693A1D7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Skills mix, function, roles, responsibilities, organisation</w:t>
            </w:r>
          </w:p>
        </w:tc>
        <w:tc>
          <w:tcPr>
            <w:tcW w:w="5245" w:type="dxa"/>
          </w:tcPr>
          <w:p w14:paraId="758A85B9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Skills required v existing skills</w:t>
            </w:r>
          </w:p>
          <w:p w14:paraId="5E38FC52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B34C834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Organisational structures and management responsibilities</w:t>
            </w:r>
          </w:p>
          <w:p w14:paraId="42F15ABE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Functional staff </w:t>
            </w:r>
            <w:proofErr w:type="gramStart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groups</w:t>
            </w:r>
            <w:proofErr w:type="gramEnd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correct?</w:t>
            </w:r>
          </w:p>
          <w:p w14:paraId="4032FB6C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7" w:type="dxa"/>
          </w:tcPr>
          <w:p w14:paraId="7EE43440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Current Job profiles, structures, job specifications and essential qualifications.</w:t>
            </w:r>
          </w:p>
        </w:tc>
      </w:tr>
      <w:tr w:rsidR="006028BB" w:rsidRPr="006028BB" w14:paraId="362ECE51" w14:textId="77777777" w:rsidTr="006028BB">
        <w:tc>
          <w:tcPr>
            <w:tcW w:w="1951" w:type="dxa"/>
          </w:tcPr>
          <w:p w14:paraId="31908272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Development and Training; Managing talent</w:t>
            </w:r>
          </w:p>
        </w:tc>
        <w:tc>
          <w:tcPr>
            <w:tcW w:w="5245" w:type="dxa"/>
          </w:tcPr>
          <w:p w14:paraId="0FE91181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Skills required/need developing</w:t>
            </w:r>
          </w:p>
          <w:p w14:paraId="7B513D47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Qualifications required/existing</w:t>
            </w:r>
          </w:p>
          <w:p w14:paraId="76A8CE91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Development Opportunities</w:t>
            </w:r>
          </w:p>
          <w:p w14:paraId="45098198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Succession from one post to another; promotion and career prospects</w:t>
            </w:r>
          </w:p>
          <w:p w14:paraId="18BD73DF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47" w:type="dxa"/>
          </w:tcPr>
          <w:p w14:paraId="3712E8B6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Staff qualifications </w:t>
            </w:r>
          </w:p>
          <w:p w14:paraId="6B765885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Staff survey</w:t>
            </w:r>
          </w:p>
        </w:tc>
      </w:tr>
      <w:tr w:rsidR="006028BB" w:rsidRPr="006028BB" w14:paraId="6E805D56" w14:textId="77777777" w:rsidTr="006028BB">
        <w:tc>
          <w:tcPr>
            <w:tcW w:w="1951" w:type="dxa"/>
          </w:tcPr>
          <w:p w14:paraId="3CADD7C3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i/>
                <w:sz w:val="24"/>
                <w:szCs w:val="24"/>
                <w:lang w:eastAsia="en-GB"/>
              </w:rPr>
              <w:t>Engagement and involvement</w:t>
            </w:r>
          </w:p>
          <w:p w14:paraId="743B219D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en-GB"/>
              </w:rPr>
            </w:pPr>
          </w:p>
        </w:tc>
        <w:tc>
          <w:tcPr>
            <w:tcW w:w="5245" w:type="dxa"/>
          </w:tcPr>
          <w:p w14:paraId="1B8572B5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Ongoing information/briefing</w:t>
            </w:r>
          </w:p>
          <w:p w14:paraId="698E482B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Are the correct level of staff making </w:t>
            </w:r>
            <w:proofErr w:type="gramStart"/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decisions</w:t>
            </w:r>
            <w:proofErr w:type="gramEnd"/>
          </w:p>
          <w:p w14:paraId="12737F3A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Staff involvement</w:t>
            </w:r>
          </w:p>
          <w:p w14:paraId="73E4933B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Staff representatives</w:t>
            </w:r>
          </w:p>
        </w:tc>
        <w:tc>
          <w:tcPr>
            <w:tcW w:w="3147" w:type="dxa"/>
          </w:tcPr>
          <w:p w14:paraId="22F1435C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Staff surveys</w:t>
            </w:r>
          </w:p>
          <w:p w14:paraId="1CB1DCE4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Comms plans</w:t>
            </w:r>
          </w:p>
          <w:p w14:paraId="6E73E0B4" w14:textId="77777777" w:rsidR="006028BB" w:rsidRPr="006028BB" w:rsidRDefault="006028BB" w:rsidP="002C1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028BB">
              <w:rPr>
                <w:rFonts w:eastAsia="Times New Roman" w:cstheme="minorHAnsi"/>
                <w:sz w:val="24"/>
                <w:szCs w:val="24"/>
                <w:lang w:eastAsia="en-GB"/>
              </w:rPr>
              <w:t>Pulse surveys</w:t>
            </w:r>
          </w:p>
        </w:tc>
      </w:tr>
    </w:tbl>
    <w:p w14:paraId="4D89A780" w14:textId="77777777" w:rsidR="006028BB" w:rsidRPr="00761C2C" w:rsidRDefault="006028BB" w:rsidP="006028BB">
      <w:pPr>
        <w:rPr>
          <w:rFonts w:ascii="Verdana" w:hAnsi="Verdana" w:cstheme="minorHAnsi"/>
        </w:rPr>
      </w:pPr>
    </w:p>
    <w:p w14:paraId="2710BD05" w14:textId="32172A37" w:rsidR="00E50AFD" w:rsidRPr="006028BB" w:rsidRDefault="00E50AFD" w:rsidP="006028B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14:paraId="483025A8" w14:textId="77777777" w:rsidR="00E50AFD" w:rsidRPr="00370416" w:rsidRDefault="00E50AFD" w:rsidP="00E50AFD">
      <w:pPr>
        <w:spacing w:line="240" w:lineRule="auto"/>
        <w:jc w:val="both"/>
        <w:rPr>
          <w:rFonts w:ascii="Verdana" w:eastAsia="Arial Unicode MS" w:hAnsi="Verdana" w:cstheme="minorHAnsi"/>
          <w:color w:val="000000" w:themeColor="text1"/>
        </w:rPr>
      </w:pPr>
    </w:p>
    <w:p w14:paraId="2F586CEE" w14:textId="77777777" w:rsidR="007C34D4" w:rsidRDefault="00B867FB"/>
    <w:sectPr w:rsidR="007C34D4" w:rsidSect="0015751F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46EF" w14:textId="77777777" w:rsidR="00B867FB" w:rsidRDefault="00B867FB" w:rsidP="00B071A2">
      <w:r>
        <w:separator/>
      </w:r>
    </w:p>
  </w:endnote>
  <w:endnote w:type="continuationSeparator" w:id="0">
    <w:p w14:paraId="5969E34D" w14:textId="77777777" w:rsidR="00B867FB" w:rsidRDefault="00B867FB" w:rsidP="00B0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A2BE1" w14:textId="72438A0A" w:rsidR="0015751F" w:rsidRPr="0015751F" w:rsidRDefault="005C0E21" w:rsidP="0015751F">
    <w:pPr>
      <w:pStyle w:val="Footer"/>
      <w:jc w:val="center"/>
      <w:rPr>
        <w:rFonts w:cs="Arial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91B4F" wp14:editId="2413A74F">
              <wp:simplePos x="0" y="0"/>
              <wp:positionH relativeFrom="column">
                <wp:posOffset>-482600</wp:posOffset>
              </wp:positionH>
              <wp:positionV relativeFrom="paragraph">
                <wp:posOffset>89746</wp:posOffset>
              </wp:positionV>
              <wp:extent cx="7735570" cy="67733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570" cy="677333"/>
                      </a:xfrm>
                      <a:prstGeom prst="rect">
                        <a:avLst/>
                      </a:prstGeom>
                      <a:solidFill>
                        <a:srgbClr val="0032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A0561" id="Rectangle 1" o:spid="_x0000_s1026" style="position:absolute;margin-left:-38pt;margin-top:7.05pt;width:609.1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ePVlAIAAIUFAAAOAAAAZHJzL2Uyb0RvYy54bWysVE1v2zAMvQ/YfxB0X+x8NVtQpwhSZBhQ&#13;&#10;tEXboWdFlmIDsqhJSpzs14+SbLfrih2G5aCIJvlIPpG8vDo1ihyFdTXogo5HOSVCcyhrvS/o96ft&#13;&#10;p8+UOM90yRRoUdCzcPRq9fHDZWuWYgIVqFJYgiDaLVtT0Mp7s8wyxyvRMDcCIzQqJdiGeRTtPist&#13;&#10;axG9Udkkzy+yFmxpLHDhHH69Tkq6ivhSCu7vpHTCE1VQzM3H08ZzF85sdcmWe8tMVfMuDfYPWTSs&#13;&#10;1hh0gLpmnpGDrf+AampuwYH0Iw5NBlLWXMQasJpx/qaax4oZEWtBcpwZaHL/D5bfHu8tqUt8O0o0&#13;&#10;a/CJHpA0pvdKkHGgpzVuiVaP5t52ksNrqPUkbRP+sQpyipSeB0rFyROOHxeL6Xy+QOY56i5Qmk4D&#13;&#10;aPbibazzXwU0JFwKajF6ZJIdb5xPpr1JCOZA1eW2VioKdr/bKEuOLDxvPp3Mth36b2ZKB2MNwS0h&#13;&#10;hi9ZqCzVEm/+rESwU/pBSKQEs5/ETGIziiEO41xoP06qipUihZ/n+Oujh/YNHrHSCBiQJcYfsDuA&#13;&#10;3jKB9Ngpy84+uIrYy4Nz/rfEkvPgESOD9oNzU2uw7wEorKqLnOx7khI1gaUdlGdsGAtpkpzh2xrf&#13;&#10;7YY5f88sjg4+Na4Df4eHVNAWFLobJRXYn+99D/bY0ailpMVRLKj7cWBWUKK+aez1L+PZLMxuFGbz&#13;&#10;xQQF+1qze63Rh2YD2A7Yz5hdvAZ7r/qrtNA849ZYh6ioYppj7IJyb3th49OKwL3DxXodzXBeDfM3&#13;&#10;+tHwAB5YDX35dHpm1nTN67Htb6EfW7Z808PJNnhqWB88yDo2+AuvHd8467Fxur0UlslrOVq9bM/V&#13;&#10;LwAAAP//AwBQSwMEFAAGAAgAAAAhAMF/vQ/jAAAAEAEAAA8AAABkcnMvZG93bnJldi54bWxMj0FP&#13;&#10;wzAMhe9I/IfISNy2tFE1pq7phEAcOBSJjQNHr/HaiiapmnTt/j3eCS6WrWc/v6/YL7YXFxpD552G&#13;&#10;dJ2AIFd707lGw9fxbbUFESI6g713pOFKAfbl/V2BufGz+6TLITaCTVzIUUMb45BLGeqWLIa1H8ix&#13;&#10;dvajxcjj2Egz4szmtpcqSTbSYuf4Q4sDvbRU/xwmq6Gq6HydUX2Yucf6PZuq73iMWj8+LK87Ls87&#13;&#10;EJGW+HcBNwbODyUHO/nJmSB6DaunDQNFFrIUxG0hzZQCceJOJVuQZSH/g5S/AAAA//8DAFBLAQIt&#13;&#10;ABQABgAIAAAAIQC2gziS/gAAAOEBAAATAAAAAAAAAAAAAAAAAAAAAABbQ29udGVudF9UeXBlc10u&#13;&#10;eG1sUEsBAi0AFAAGAAgAAAAhADj9If/WAAAAlAEAAAsAAAAAAAAAAAAAAAAALwEAAF9yZWxzLy5y&#13;&#10;ZWxzUEsBAi0AFAAGAAgAAAAhAOO549WUAgAAhQUAAA4AAAAAAAAAAAAAAAAALgIAAGRycy9lMm9E&#13;&#10;b2MueG1sUEsBAi0AFAAGAAgAAAAhAMF/vQ/jAAAAEAEAAA8AAAAAAAAAAAAAAAAA7gQAAGRycy9k&#13;&#10;b3ducmV2LnhtbFBLBQYAAAAABAAEAPMAAAD+BQAAAAA=&#13;&#10;" fillcolor="#00324f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CCAA3" wp14:editId="5FBF2D07">
              <wp:simplePos x="0" y="0"/>
              <wp:positionH relativeFrom="column">
                <wp:posOffset>-485775</wp:posOffset>
              </wp:positionH>
              <wp:positionV relativeFrom="paragraph">
                <wp:posOffset>4868</wp:posOffset>
              </wp:positionV>
              <wp:extent cx="7561580" cy="86995"/>
              <wp:effectExtent l="0" t="0" r="7620" b="1460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86995"/>
                      </a:xfrm>
                      <a:prstGeom prst="rect">
                        <a:avLst/>
                      </a:prstGeom>
                      <a:solidFill>
                        <a:srgbClr val="D1222B"/>
                      </a:solidFill>
                      <a:ln w="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6FB07" id="Rectangle 24" o:spid="_x0000_s1026" style="position:absolute;margin-left:-38.25pt;margin-top:.4pt;width:595.4pt;height: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wJqvkgIAAHsFAAAOAAAAZHJzL2Uyb0RvYy54bWysVEtv2zAMvg/YfxB0Xx0bSR9BnSJr0WFA&#13;&#10;0RVth54VWUoMyKJGKXGyXz9KfjTrih2G5aBQIvmR/Ezy8mrfGLZT6GuwJc9PJpwpK6Gq7brk359v&#13;&#10;P51z5oOwlTBgVckPyvOrxccPl62bqwI2YCqFjECsn7eu5JsQ3DzLvNyoRvgTcMqSUgM2ItAV11mF&#13;&#10;oiX0xmTFZHKatYCVQ5DKe3q96ZR8kfC1VjJ809qrwEzJKbeQTkznKp7Z4lLM1yjcppZ9GuIfsmhE&#13;&#10;bSnoCHUjgmBbrP+AamqJ4EGHEwlNBlrXUqUaqJp88qaap41wKtVC5Hg30uT/H6y83z0gq6uSF1PO&#13;&#10;rGjoGz0Sa8KujWL0RgS1zs/J7sk9YH/zJMZq9xqb+E91sH0i9TCSqvaBSXo8m53ms3PiXpLu/PTi&#13;&#10;YhYxs1dnhz58UdCwKJQcKXqiUuzufOhMB5MYy4Opq9vamHTB9eraINsJ+r43eVEUn3v038yMZW2f&#13;&#10;WBar6fJPUjgYFZGMfVSaiKCMixQ+taAawYWUyoa8U21EpbqYswn9hpCxaaNHKi8BRmRNuY7YPcBg&#13;&#10;2YEM2F2xvX10VamDR+fJ3xLrnEePFBlsGJ2b2gK+B2Coqj5yZ0/pH1ETxRVUB2oThG5+vJO3NX2s&#13;&#10;O+HDg0AaGPq8tATCNzq0AeIaeomzDeDP996jPfUxaTlraQBL7n9sBSrOzFdLHX6RT6dxYtNlOjsr&#13;&#10;6ILHmtWxxm6ba6AeyGndOJnEaB/MIGqE5oV2xTJGJZWwkmKXXAYcLtehWwy0baRaLpMZTakT4c4+&#13;&#10;ORnBI6uxGZ/3LwJd37GBWv0ehmEV8zeN29lGTwvLbQBdp65+5bXnmyY8NU6/jeIKOb4nq9edufgF&#13;&#10;AAD//wMAUEsDBBQABgAIAAAAIQBE4AXO4gAAAA0BAAAPAAAAZHJzL2Rvd25yZXYueG1sTI9BT8Mw&#13;&#10;DIXvSPyHyEjctrSwFNQ1nQYMDojLxiSuWWPaqo1TNdlW/j3eCS6WrWc/v69YTa4XJxxD60lDOk9A&#13;&#10;IFXetlRr2H++zh5BhGjImt4TavjBAKvy+qowufVn2uJpF2vBJhRyo6GJccilDFWDzoS5H5BY+/aj&#13;&#10;M5HHsZZ2NGc2d728S5JMOtMSf2jMgM8NVt3u6DRk2680btTTplNvyXrfSfXxjoPWtzfTy5LLegki&#13;&#10;4hT/LuDCwPmh5GAHfyQbRK9h9pApXtXAFBc5TRf3IA7cLRTIspD/KcpfAAAA//8DAFBLAQItABQA&#13;&#10;BgAIAAAAIQC2gziS/gAAAOEBAAATAAAAAAAAAAAAAAAAAAAAAABbQ29udGVudF9UeXBlc10ueG1s&#13;&#10;UEsBAi0AFAAGAAgAAAAhADj9If/WAAAAlAEAAAsAAAAAAAAAAAAAAAAALwEAAF9yZWxzLy5yZWxz&#13;&#10;UEsBAi0AFAAGAAgAAAAhALrAmq+SAgAAewUAAA4AAAAAAAAAAAAAAAAALgIAAGRycy9lMm9Eb2Mu&#13;&#10;eG1sUEsBAi0AFAAGAAgAAAAhAETgBc7iAAAADQEAAA8AAAAAAAAAAAAAAAAA7AQAAGRycy9kb3du&#13;&#10;cmV2LnhtbFBLBQYAAAAABAAEAPMAAAD7BQAAAAA=&#13;&#10;" fillcolor="#d1222b" strokecolor="#1f3763 [1604]" strokeweight="0"/>
          </w:pict>
        </mc:Fallback>
      </mc:AlternateContent>
    </w:r>
  </w:p>
  <w:p w14:paraId="76F59094" w14:textId="487283CB" w:rsidR="00B071A2" w:rsidRDefault="005C0E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A15AD" wp14:editId="7EC2D6DB">
              <wp:simplePos x="0" y="0"/>
              <wp:positionH relativeFrom="column">
                <wp:posOffset>-306729</wp:posOffset>
              </wp:positionH>
              <wp:positionV relativeFrom="paragraph">
                <wp:posOffset>135577</wp:posOffset>
              </wp:positionV>
              <wp:extent cx="5324354" cy="32173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354" cy="321733"/>
                      </a:xfrm>
                      <a:prstGeom prst="rect">
                        <a:avLst/>
                      </a:prstGeom>
                      <a:solidFill>
                        <a:srgbClr val="00324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F4D692" w14:textId="49B769B1" w:rsidR="00B071A2" w:rsidRPr="007E6BF7" w:rsidRDefault="00B071A2">
                          <w:pPr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</w:pP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 xml:space="preserve">The ‘go to’ organisation for </w:t>
                          </w:r>
                          <w:r w:rsidR="00516443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L</w:t>
                          </w: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 xml:space="preserve">ocal </w:t>
                          </w:r>
                          <w:r w:rsidR="004F511B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G</w:t>
                          </w: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overnment improvement in Scotland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A1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.15pt;margin-top:10.7pt;width:419.2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1okQgIAAHoEAAAOAAAAZHJzL2Uyb0RvYy54bWysVFFv2jAQfp+0/2D5fSQQaLuIUDEqpklV&#13;&#10;WwmmPhvHJpEcn2cbEvbrd3YCZd2epr2Y893lO9/33TG/7xpFjsK6GnRBx6OUEqE5lLXeF/T7dv3p&#13;&#10;jhLnmS6ZAi0KehKO3i8+fpi3JhcTqECVwhIE0S5vTUEr702eJI5XomFuBEZoDEqwDfN4tfuktKxF&#13;&#10;9EYlkzS9SVqwpbHAhXPofeiDdBHxpRTcP0vphCeqoPg2H08bz104k8Wc5XvLTFXz4RnsH17RsFpj&#13;&#10;0QvUA/OMHGz9B1RTcwsOpB9xaBKQsuYi9oDdjNN33WwqZkTsBclx5kKT+3+w/On4YkldFnRGiWYN&#13;&#10;SrQVnSdfoCOzwE5rXI5JG4NpvkM3qnz2O3SGpjtpm/CL7RCMI8+nC7cBjKNzlk2m2WxKCcdYNhnf&#13;&#10;ZlmASd6+Ntb5rwIaEoyCWtQuUsqOj873qeeUUMyBqst1rVS82P1upSw5sqBzirXWA/pvaUqTtqA3&#13;&#10;2SyNyBrC9z200viY0GzfVLB8t+sGBnZQnpAAC/0AOcPXNb7ykTn/wixODPaMW+Cf8ZAKsAgMFiUV&#13;&#10;2J9/84d8FBKjlLQ4gQV1Pw7MCkrUN40Sfx5Pp2Fk42U6u53gxV5HdtcRfWhWgM2Pcd8Mj2bI9+ps&#13;&#10;SgvNKy7LMlTFENMcaxfUn82V7/cCl42L5TIm4ZAa5h/1xvAAHagOGmy7V2bNIJRHiZ/gPKssf6dX&#13;&#10;nxu+1LA8eJB1FDMQ3LM68I4DHsdhWMawQdf3mPX2l7H4BQAA//8DAFBLAwQUAAYACAAAACEAHl0l&#13;&#10;/OMAAAAOAQAADwAAAGRycy9kb3ducmV2LnhtbExPy07DMBC8I/EP1iJxa+2ECkoap0JUXFqK6APO&#13;&#10;bmySqPY6jd0m/D3LCS6rXc3sPPL54Cy7mC40HiUkYwHMYOl1g5WE/e5lNAUWokKtrEcj4dsEmBfX&#13;&#10;V7nKtO9xYy7bWDESwZApCXWMbcZ5KGvjVBj71iBhX75zKtLZVVx3qidxZ3kqxD13qkFyqFVrnmtT&#13;&#10;HrdnJwFb+35avfbibf1xPKlFXH7uV0spb2+GxYzG0wxYNEP8+4DfDpQfCgp28GfUgVkJo8n0jqgS&#13;&#10;0mQCjAgPjyIFdqAlTYAXOf9fo/gBAAD//wMAUEsBAi0AFAAGAAgAAAAhALaDOJL+AAAA4QEAABMA&#13;&#10;AAAAAAAAAAAAAAAAAAAAAFtDb250ZW50X1R5cGVzXS54bWxQSwECLQAUAAYACAAAACEAOP0h/9YA&#13;&#10;AACUAQAACwAAAAAAAAAAAAAAAAAvAQAAX3JlbHMvLnJlbHNQSwECLQAUAAYACAAAACEAUedaJEIC&#13;&#10;AAB6BAAADgAAAAAAAAAAAAAAAAAuAgAAZHJzL2Uyb0RvYy54bWxQSwECLQAUAAYACAAAACEAHl0l&#13;&#10;/OMAAAAOAQAADwAAAAAAAAAAAAAAAACcBAAAZHJzL2Rvd25yZXYueG1sUEsFBgAAAAAEAAQA8wAA&#13;&#10;AKwFAAAAAA==&#13;&#10;" fillcolor="#00324f" stroked="f" strokeweight=".5pt">
              <v:textbox>
                <w:txbxContent>
                  <w:p w14:paraId="40F4D692" w14:textId="49B769B1" w:rsidR="00B071A2" w:rsidRPr="007E6BF7" w:rsidRDefault="00B071A2">
                    <w:pPr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</w:pP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 xml:space="preserve">The ‘go to’ organisation for </w:t>
                    </w:r>
                    <w:r w:rsidR="00516443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L</w:t>
                    </w: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 xml:space="preserve">ocal </w:t>
                    </w:r>
                    <w:r w:rsidR="004F511B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G</w:t>
                    </w: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overnment improvement in Scotland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9B3FB" w14:textId="77777777" w:rsidR="00B867FB" w:rsidRDefault="00B867FB" w:rsidP="00B071A2">
      <w:r>
        <w:separator/>
      </w:r>
    </w:p>
  </w:footnote>
  <w:footnote w:type="continuationSeparator" w:id="0">
    <w:p w14:paraId="2732F924" w14:textId="77777777" w:rsidR="00B867FB" w:rsidRDefault="00B867FB" w:rsidP="00B0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8D75" w14:textId="6D1EA383" w:rsidR="0015751F" w:rsidRDefault="0015751F" w:rsidP="00E50AFD">
    <w:pPr>
      <w:jc w:val="both"/>
    </w:pPr>
    <w:r w:rsidRPr="0015751F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CD8FB5B" wp14:editId="45576DC3">
          <wp:simplePos x="0" y="0"/>
          <wp:positionH relativeFrom="column">
            <wp:posOffset>4944110</wp:posOffset>
          </wp:positionH>
          <wp:positionV relativeFrom="paragraph">
            <wp:posOffset>7620</wp:posOffset>
          </wp:positionV>
          <wp:extent cx="1699895" cy="849630"/>
          <wp:effectExtent l="0" t="0" r="1905" b="1270"/>
          <wp:wrapThrough wrapText="bothSides">
            <wp:wrapPolygon edited="0">
              <wp:start x="13071" y="0"/>
              <wp:lineTo x="13071" y="15498"/>
              <wp:lineTo x="0" y="17112"/>
              <wp:lineTo x="0" y="20987"/>
              <wp:lineTo x="1936" y="21309"/>
              <wp:lineTo x="2905" y="21309"/>
              <wp:lineTo x="20333" y="20987"/>
              <wp:lineTo x="20172" y="20664"/>
              <wp:lineTo x="21463" y="16143"/>
              <wp:lineTo x="21463" y="14206"/>
              <wp:lineTo x="19849" y="10332"/>
              <wp:lineTo x="20010" y="5166"/>
              <wp:lineTo x="18397" y="3552"/>
              <wp:lineTo x="14524" y="0"/>
              <wp:lineTo x="13071" y="0"/>
            </wp:wrapPolygon>
          </wp:wrapThrough>
          <wp:docPr id="23" name="Picture 23" descr="A picture containing cur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B2E31"/>
    <w:multiLevelType w:val="hybridMultilevel"/>
    <w:tmpl w:val="07D00F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A2"/>
    <w:rsid w:val="000F6DCA"/>
    <w:rsid w:val="0015751F"/>
    <w:rsid w:val="001A2799"/>
    <w:rsid w:val="0037250C"/>
    <w:rsid w:val="004802B2"/>
    <w:rsid w:val="004A3F13"/>
    <w:rsid w:val="004F511B"/>
    <w:rsid w:val="00516443"/>
    <w:rsid w:val="005C0E21"/>
    <w:rsid w:val="006028BB"/>
    <w:rsid w:val="006129FC"/>
    <w:rsid w:val="00792A97"/>
    <w:rsid w:val="007E6BF7"/>
    <w:rsid w:val="008A2291"/>
    <w:rsid w:val="00932120"/>
    <w:rsid w:val="00935E2E"/>
    <w:rsid w:val="00B071A2"/>
    <w:rsid w:val="00B0775F"/>
    <w:rsid w:val="00B83EFB"/>
    <w:rsid w:val="00B867FB"/>
    <w:rsid w:val="00E50AFD"/>
    <w:rsid w:val="00EF337E"/>
    <w:rsid w:val="00F35A78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9806"/>
  <w14:defaultImageDpi w14:val="32767"/>
  <w15:chartTrackingRefBased/>
  <w15:docId w15:val="{0E9FCB65-B341-2348-88B1-1FCFA66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0A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A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71A2"/>
  </w:style>
  <w:style w:type="paragraph" w:styleId="Footer">
    <w:name w:val="footer"/>
    <w:basedOn w:val="Normal"/>
    <w:link w:val="FooterChar"/>
    <w:unhideWhenUsed/>
    <w:rsid w:val="00B071A2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71A2"/>
  </w:style>
  <w:style w:type="paragraph" w:styleId="NoSpacing">
    <w:name w:val="No Spacing"/>
    <w:uiPriority w:val="1"/>
    <w:qFormat/>
    <w:rsid w:val="005C0E21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E50AFD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0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Jenkins</dc:creator>
  <cp:keywords/>
  <dc:description/>
  <cp:lastModifiedBy>Louise Jenkins</cp:lastModifiedBy>
  <cp:revision>3</cp:revision>
  <dcterms:created xsi:type="dcterms:W3CDTF">2021-07-13T09:37:00Z</dcterms:created>
  <dcterms:modified xsi:type="dcterms:W3CDTF">2021-07-13T09:41:00Z</dcterms:modified>
</cp:coreProperties>
</file>