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02B" w:rsidRDefault="3A4A4B92" w:rsidP="0C430FBF">
      <w:pPr>
        <w:rPr>
          <w:rFonts w:ascii="Arial" w:eastAsia="Arial" w:hAnsi="Arial" w:cs="Arial"/>
          <w:b/>
          <w:bCs/>
          <w:color w:val="000000" w:themeColor="text1"/>
        </w:rPr>
      </w:pPr>
      <w:r w:rsidRPr="0C430FBF">
        <w:rPr>
          <w:rFonts w:ascii="Arial" w:eastAsia="Arial" w:hAnsi="Arial" w:cs="Arial"/>
          <w:b/>
          <w:bCs/>
          <w:color w:val="000000" w:themeColor="text1"/>
        </w:rPr>
        <w:t xml:space="preserve">Mapping achievement against Crerar Recommendations </w:t>
      </w:r>
    </w:p>
    <w:p w:rsidR="00B9102B" w:rsidRDefault="3A4A4B92">
      <w:r w:rsidRPr="0C430FBF">
        <w:rPr>
          <w:rFonts w:ascii="Arial" w:eastAsia="Arial" w:hAnsi="Arial" w:cs="Arial"/>
          <w:b/>
          <w:bCs/>
          <w:color w:val="000000" w:themeColor="text1"/>
        </w:rPr>
        <w:t xml:space="preserve"> </w:t>
      </w:r>
    </w:p>
    <w:tbl>
      <w:tblPr>
        <w:tblW w:w="0" w:type="auto"/>
        <w:tblLayout w:type="fixed"/>
        <w:tblLook w:val="04A0" w:firstRow="1" w:lastRow="0" w:firstColumn="1" w:lastColumn="0" w:noHBand="0" w:noVBand="1"/>
      </w:tblPr>
      <w:tblGrid>
        <w:gridCol w:w="3820"/>
        <w:gridCol w:w="5195"/>
      </w:tblGrid>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C430FBF" w:rsidRDefault="0C430FBF" w:rsidP="0C430FBF">
            <w:pPr>
              <w:spacing w:before="120" w:after="120"/>
              <w:jc w:val="center"/>
            </w:pPr>
            <w:r w:rsidRPr="0C430FBF">
              <w:rPr>
                <w:rFonts w:ascii="Arial" w:eastAsia="Arial" w:hAnsi="Arial" w:cs="Arial"/>
                <w:b/>
                <w:bCs/>
                <w:color w:val="006B8D"/>
                <w:sz w:val="21"/>
                <w:szCs w:val="21"/>
              </w:rPr>
              <w:t xml:space="preserve">Crerar recommendation </w:t>
            </w:r>
          </w:p>
        </w:tc>
        <w:tc>
          <w:tcPr>
            <w:tcW w:w="51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C430FBF" w:rsidRDefault="0C430FBF" w:rsidP="0C430FBF">
            <w:pPr>
              <w:spacing w:before="120" w:after="120"/>
              <w:jc w:val="center"/>
            </w:pPr>
            <w:r w:rsidRPr="0C430FBF">
              <w:rPr>
                <w:rFonts w:ascii="Arial" w:eastAsia="Arial" w:hAnsi="Arial" w:cs="Arial"/>
                <w:b/>
                <w:bCs/>
                <w:color w:val="006B8D"/>
                <w:sz w:val="21"/>
                <w:szCs w:val="21"/>
              </w:rPr>
              <w:t xml:space="preserve">Evidence of achievement </w:t>
            </w:r>
          </w:p>
        </w:tc>
      </w:tr>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External scrutiny website where all organisations that currently undertake external scrutiny should log all planned activity</w:t>
            </w:r>
            <w:r w:rsidRPr="0C430FBF">
              <w:rPr>
                <w:rFonts w:ascii="Arial" w:eastAsia="Arial" w:hAnsi="Arial" w:cs="Arial"/>
                <w:color w:val="006B8D"/>
                <w:sz w:val="21"/>
                <w:szCs w:val="21"/>
              </w:rPr>
              <w:t xml:space="preserve">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 xml:space="preserve">A webpage exists (hosted on Audit Scotland’s website) rather than an independent, external scrutiny website. </w:t>
            </w:r>
            <w:r w:rsidRPr="0C430FBF">
              <w:rPr>
                <w:rFonts w:ascii="Arial" w:eastAsia="Arial" w:hAnsi="Arial" w:cs="Arial"/>
                <w:color w:val="006B8D"/>
                <w:sz w:val="21"/>
                <w:szCs w:val="21"/>
              </w:rPr>
              <w:t xml:space="preserve"> </w:t>
            </w:r>
          </w:p>
        </w:tc>
      </w:tr>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pStyle w:val="ListParagraph"/>
              <w:numPr>
                <w:ilvl w:val="0"/>
                <w:numId w:val="1"/>
              </w:numPr>
              <w:tabs>
                <w:tab w:val="left" w:pos="0"/>
                <w:tab w:val="left" w:pos="720"/>
              </w:tabs>
              <w:spacing w:after="0"/>
              <w:rPr>
                <w:rFonts w:ascii="Arial" w:eastAsia="Arial" w:hAnsi="Arial" w:cs="Arial"/>
                <w:color w:val="006B8D"/>
                <w:sz w:val="21"/>
                <w:szCs w:val="21"/>
              </w:rPr>
            </w:pPr>
            <w:r w:rsidRPr="0C430FBF">
              <w:rPr>
                <w:rFonts w:ascii="Arial" w:eastAsia="Arial" w:hAnsi="Arial" w:cs="Arial"/>
                <w:b/>
                <w:bCs/>
                <w:color w:val="006B8D"/>
                <w:sz w:val="21"/>
                <w:szCs w:val="21"/>
              </w:rPr>
              <w:t xml:space="preserve">The portal should allow anyone to see what activity is planned for any service, organisation or </w:t>
            </w:r>
            <w:proofErr w:type="gramStart"/>
            <w:r w:rsidRPr="0C430FBF">
              <w:rPr>
                <w:rFonts w:ascii="Arial" w:eastAsia="Arial" w:hAnsi="Arial" w:cs="Arial"/>
                <w:b/>
                <w:bCs/>
                <w:color w:val="006B8D"/>
                <w:sz w:val="21"/>
                <w:szCs w:val="21"/>
              </w:rPr>
              <w:t>sector;</w:t>
            </w:r>
            <w:proofErr w:type="gramEnd"/>
            <w:r w:rsidRPr="0C430FBF">
              <w:rPr>
                <w:rFonts w:ascii="Arial" w:eastAsia="Arial" w:hAnsi="Arial" w:cs="Arial"/>
                <w:b/>
                <w:bCs/>
                <w:color w:val="006B8D"/>
                <w:sz w:val="21"/>
                <w:szCs w:val="21"/>
              </w:rPr>
              <w:t xml:space="preserve"> or by any external scrutiny organisation.</w:t>
            </w:r>
            <w:r w:rsidRPr="0C430FBF">
              <w:rPr>
                <w:rFonts w:ascii="Arial" w:eastAsia="Arial" w:hAnsi="Arial" w:cs="Arial"/>
                <w:b/>
                <w:bCs/>
                <w:color w:val="1F497D"/>
                <w:sz w:val="21"/>
                <w:szCs w:val="21"/>
              </w:rPr>
              <w:t xml:space="preserve"> </w:t>
            </w:r>
            <w:r w:rsidRPr="0C430FBF">
              <w:rPr>
                <w:rFonts w:ascii="Arial" w:eastAsia="Arial" w:hAnsi="Arial" w:cs="Arial"/>
                <w:color w:val="006B8D"/>
                <w:sz w:val="21"/>
                <w:szCs w:val="21"/>
              </w:rPr>
              <w:t xml:space="preserve">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 xml:space="preserve">Currently, users can search to see what scrutiny activity is being undertaken by council, no other sector. Although there is a link to each scrutiny organisation’s work programme it is not overly clear what scrutiny activity is planned for each sector. </w:t>
            </w:r>
            <w:r w:rsidRPr="0C430FBF">
              <w:rPr>
                <w:rFonts w:ascii="Arial" w:eastAsia="Arial" w:hAnsi="Arial" w:cs="Arial"/>
                <w:color w:val="006B8D"/>
                <w:sz w:val="21"/>
                <w:szCs w:val="21"/>
              </w:rPr>
              <w:t xml:space="preserve"> </w:t>
            </w:r>
          </w:p>
        </w:tc>
      </w:tr>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pStyle w:val="ListParagraph"/>
              <w:numPr>
                <w:ilvl w:val="0"/>
                <w:numId w:val="1"/>
              </w:numPr>
              <w:tabs>
                <w:tab w:val="left" w:pos="0"/>
                <w:tab w:val="left" w:pos="720"/>
              </w:tabs>
              <w:spacing w:after="0"/>
              <w:rPr>
                <w:rFonts w:ascii="Arial" w:eastAsia="Arial" w:hAnsi="Arial" w:cs="Arial"/>
                <w:b/>
                <w:bCs/>
                <w:color w:val="1F497D"/>
                <w:sz w:val="21"/>
                <w:szCs w:val="21"/>
              </w:rPr>
            </w:pPr>
            <w:r w:rsidRPr="0C430FBF">
              <w:rPr>
                <w:rFonts w:ascii="Arial" w:eastAsia="Arial" w:hAnsi="Arial" w:cs="Arial"/>
                <w:b/>
                <w:bCs/>
                <w:color w:val="006B8D"/>
                <w:sz w:val="21"/>
                <w:szCs w:val="21"/>
              </w:rPr>
              <w:t>Unannounced inspections will also be logged but only other external scrutiny organisations will be able to see these.</w:t>
            </w:r>
            <w:r w:rsidRPr="0C430FBF">
              <w:rPr>
                <w:rFonts w:ascii="Arial" w:eastAsia="Arial" w:hAnsi="Arial" w:cs="Arial"/>
                <w:b/>
                <w:bCs/>
                <w:color w:val="1F497D"/>
                <w:sz w:val="21"/>
                <w:szCs w:val="21"/>
              </w:rPr>
              <w:t xml:space="preserve">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 xml:space="preserve">There is no process or functionality for it to happen on the web portal. </w:t>
            </w:r>
            <w:r w:rsidRPr="0C430FBF">
              <w:rPr>
                <w:rFonts w:ascii="Arial" w:eastAsia="Arial" w:hAnsi="Arial" w:cs="Arial"/>
                <w:color w:val="006B8D"/>
                <w:sz w:val="21"/>
                <w:szCs w:val="21"/>
              </w:rPr>
              <w:t xml:space="preserve"> </w:t>
            </w:r>
          </w:p>
          <w:p w:rsidR="0C430FBF" w:rsidRDefault="0C430FBF" w:rsidP="0C430FBF">
            <w:pPr>
              <w:spacing w:before="120" w:after="120"/>
            </w:pPr>
            <w:r w:rsidRPr="0C430FBF">
              <w:rPr>
                <w:rFonts w:ascii="Arial" w:eastAsia="Arial" w:hAnsi="Arial" w:cs="Arial"/>
                <w:b/>
                <w:bCs/>
                <w:color w:val="006B8D"/>
                <w:sz w:val="21"/>
                <w:szCs w:val="21"/>
              </w:rPr>
              <w:t>SCG members share this information as and when occurs.</w:t>
            </w:r>
            <w:r w:rsidRPr="0C430FBF">
              <w:rPr>
                <w:rFonts w:ascii="Arial" w:eastAsia="Arial" w:hAnsi="Arial" w:cs="Arial"/>
                <w:color w:val="006B8D"/>
                <w:sz w:val="21"/>
                <w:szCs w:val="21"/>
              </w:rPr>
              <w:t xml:space="preserve"> </w:t>
            </w:r>
          </w:p>
        </w:tc>
      </w:tr>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pStyle w:val="ListParagraph"/>
              <w:numPr>
                <w:ilvl w:val="0"/>
                <w:numId w:val="1"/>
              </w:numPr>
              <w:tabs>
                <w:tab w:val="left" w:pos="0"/>
                <w:tab w:val="left" w:pos="720"/>
              </w:tabs>
              <w:spacing w:after="0"/>
              <w:rPr>
                <w:rFonts w:ascii="Arial" w:eastAsia="Arial" w:hAnsi="Arial" w:cs="Arial"/>
                <w:color w:val="006B8D"/>
                <w:sz w:val="21"/>
                <w:szCs w:val="21"/>
              </w:rPr>
            </w:pPr>
            <w:r w:rsidRPr="0C430FBF">
              <w:rPr>
                <w:rFonts w:ascii="Arial" w:eastAsia="Arial" w:hAnsi="Arial" w:cs="Arial"/>
                <w:b/>
                <w:bCs/>
                <w:color w:val="006B8D"/>
                <w:sz w:val="21"/>
                <w:szCs w:val="21"/>
              </w:rPr>
              <w:t xml:space="preserve">Opportunity to undertake more work and information-gathering on behalf of each other. </w:t>
            </w:r>
            <w:r w:rsidRPr="0C430FBF">
              <w:rPr>
                <w:rFonts w:ascii="Arial" w:eastAsia="Arial" w:hAnsi="Arial" w:cs="Arial"/>
                <w:color w:val="006B8D"/>
                <w:sz w:val="21"/>
                <w:szCs w:val="21"/>
              </w:rPr>
              <w:t xml:space="preserve">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 xml:space="preserve">This happens for specific requests from the SSG e.g. equalities data, readiness for Human Rights based approach </w:t>
            </w:r>
            <w:proofErr w:type="gramStart"/>
            <w:r w:rsidRPr="0C430FBF">
              <w:rPr>
                <w:rFonts w:ascii="Arial" w:eastAsia="Arial" w:hAnsi="Arial" w:cs="Arial"/>
                <w:b/>
                <w:bCs/>
                <w:color w:val="006B8D"/>
                <w:sz w:val="21"/>
                <w:szCs w:val="21"/>
              </w:rPr>
              <w:t>where AS</w:t>
            </w:r>
            <w:proofErr w:type="gramEnd"/>
            <w:r w:rsidRPr="0C430FBF">
              <w:rPr>
                <w:rFonts w:ascii="Arial" w:eastAsia="Arial" w:hAnsi="Arial" w:cs="Arial"/>
                <w:b/>
                <w:bCs/>
                <w:color w:val="006B8D"/>
                <w:sz w:val="21"/>
                <w:szCs w:val="21"/>
              </w:rPr>
              <w:t xml:space="preserve"> gather and report for all members.</w:t>
            </w:r>
            <w:r w:rsidRPr="0C430FBF">
              <w:rPr>
                <w:rFonts w:ascii="Arial" w:eastAsia="Arial" w:hAnsi="Arial" w:cs="Arial"/>
                <w:color w:val="006B8D"/>
                <w:sz w:val="21"/>
                <w:szCs w:val="21"/>
              </w:rPr>
              <w:t xml:space="preserve"> </w:t>
            </w:r>
          </w:p>
          <w:p w:rsidR="0C430FBF" w:rsidRDefault="0C430FBF" w:rsidP="0C430FBF">
            <w:pPr>
              <w:spacing w:before="120" w:after="120"/>
            </w:pPr>
            <w:r w:rsidRPr="0C430FBF">
              <w:rPr>
                <w:rFonts w:ascii="Arial" w:eastAsia="Arial" w:hAnsi="Arial" w:cs="Arial"/>
                <w:b/>
                <w:bCs/>
                <w:color w:val="006B8D"/>
                <w:sz w:val="21"/>
                <w:szCs w:val="21"/>
              </w:rPr>
              <w:t>Data shared through LAN contacts/SCG</w:t>
            </w:r>
            <w:r w:rsidRPr="0C430FBF">
              <w:rPr>
                <w:rFonts w:ascii="Arial" w:eastAsia="Arial" w:hAnsi="Arial" w:cs="Arial"/>
                <w:color w:val="006B8D"/>
                <w:sz w:val="21"/>
                <w:szCs w:val="21"/>
              </w:rPr>
              <w:t xml:space="preserve"> </w:t>
            </w:r>
          </w:p>
        </w:tc>
      </w:tr>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pStyle w:val="ListParagraph"/>
              <w:numPr>
                <w:ilvl w:val="0"/>
                <w:numId w:val="1"/>
              </w:numPr>
              <w:tabs>
                <w:tab w:val="left" w:pos="0"/>
                <w:tab w:val="left" w:pos="720"/>
              </w:tabs>
              <w:spacing w:after="0"/>
              <w:rPr>
                <w:rFonts w:ascii="Arial" w:eastAsia="Arial" w:hAnsi="Arial" w:cs="Arial"/>
                <w:color w:val="006B8D"/>
                <w:sz w:val="21"/>
                <w:szCs w:val="21"/>
              </w:rPr>
            </w:pPr>
            <w:r w:rsidRPr="0C430FBF">
              <w:rPr>
                <w:rFonts w:ascii="Arial" w:eastAsia="Arial" w:hAnsi="Arial" w:cs="Arial"/>
                <w:b/>
                <w:bCs/>
                <w:color w:val="006B8D"/>
                <w:sz w:val="21"/>
                <w:szCs w:val="21"/>
              </w:rPr>
              <w:t>It would also allow all stakeholders to examine the overall volume of external scrutiny activity and to identify what specific areas were being targeted</w:t>
            </w:r>
            <w:r w:rsidRPr="0C430FBF">
              <w:rPr>
                <w:rFonts w:ascii="Arial" w:eastAsia="Arial" w:hAnsi="Arial" w:cs="Arial"/>
                <w:color w:val="006B8D"/>
                <w:sz w:val="21"/>
                <w:szCs w:val="21"/>
              </w:rPr>
              <w:t xml:space="preserve">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 xml:space="preserve">It is possible for (only) councils to see what scrutiny activity is planned for them in the </w:t>
            </w:r>
            <w:proofErr w:type="gramStart"/>
            <w:r w:rsidRPr="0C430FBF">
              <w:rPr>
                <w:rFonts w:ascii="Arial" w:eastAsia="Arial" w:hAnsi="Arial" w:cs="Arial"/>
                <w:b/>
                <w:bCs/>
                <w:color w:val="006B8D"/>
                <w:sz w:val="21"/>
                <w:szCs w:val="21"/>
              </w:rPr>
              <w:t>future</w:t>
            </w:r>
            <w:proofErr w:type="gramEnd"/>
            <w:r w:rsidRPr="0C430FBF">
              <w:rPr>
                <w:rFonts w:ascii="Arial" w:eastAsia="Arial" w:hAnsi="Arial" w:cs="Arial"/>
                <w:b/>
                <w:bCs/>
                <w:color w:val="006B8D"/>
                <w:sz w:val="21"/>
                <w:szCs w:val="21"/>
              </w:rPr>
              <w:t xml:space="preserve"> but an overall log of what scrutiny activity has been undertaken and by whom is not published. This means an overall assessment of volume and focus of scrutiny activity is not possible. </w:t>
            </w:r>
            <w:r w:rsidRPr="0C430FBF">
              <w:rPr>
                <w:rFonts w:ascii="Arial" w:eastAsia="Arial" w:hAnsi="Arial" w:cs="Arial"/>
                <w:color w:val="006B8D"/>
                <w:sz w:val="21"/>
                <w:szCs w:val="21"/>
              </w:rPr>
              <w:t xml:space="preserve"> </w:t>
            </w:r>
          </w:p>
        </w:tc>
      </w:tr>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pStyle w:val="ListParagraph"/>
              <w:numPr>
                <w:ilvl w:val="0"/>
                <w:numId w:val="1"/>
              </w:numPr>
              <w:tabs>
                <w:tab w:val="left" w:pos="0"/>
                <w:tab w:val="left" w:pos="720"/>
              </w:tabs>
              <w:spacing w:after="0"/>
              <w:rPr>
                <w:rFonts w:ascii="Arial" w:eastAsia="Arial" w:hAnsi="Arial" w:cs="Arial"/>
                <w:b/>
                <w:bCs/>
                <w:color w:val="006B8D"/>
                <w:sz w:val="21"/>
                <w:szCs w:val="21"/>
              </w:rPr>
            </w:pPr>
            <w:r w:rsidRPr="0C430FBF">
              <w:rPr>
                <w:rFonts w:ascii="Arial" w:eastAsia="Arial" w:hAnsi="Arial" w:cs="Arial"/>
                <w:b/>
                <w:bCs/>
                <w:color w:val="006B8D"/>
                <w:sz w:val="21"/>
                <w:szCs w:val="21"/>
              </w:rPr>
              <w:t xml:space="preserve">Existing scrutiny activity should be coordinated more effectively. Ministers should identify and appoint an appropriate scrutiny body to oversee the delivery of scrutiny programmes in local government, aiming to minimise compliance burdens </w:t>
            </w:r>
            <w:proofErr w:type="gramStart"/>
            <w:r w:rsidRPr="0C430FBF">
              <w:rPr>
                <w:rFonts w:ascii="Arial" w:eastAsia="Arial" w:hAnsi="Arial" w:cs="Arial"/>
                <w:b/>
                <w:bCs/>
                <w:color w:val="006B8D"/>
                <w:sz w:val="21"/>
                <w:szCs w:val="21"/>
              </w:rPr>
              <w:t>-  natural</w:t>
            </w:r>
            <w:proofErr w:type="gramEnd"/>
            <w:r w:rsidRPr="0C430FBF">
              <w:rPr>
                <w:rFonts w:ascii="Arial" w:eastAsia="Arial" w:hAnsi="Arial" w:cs="Arial"/>
                <w:b/>
                <w:bCs/>
                <w:color w:val="006B8D"/>
                <w:sz w:val="21"/>
                <w:szCs w:val="21"/>
              </w:rPr>
              <w:t xml:space="preserve"> candidate would be the Accounts Commission.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The SSG has been in operation since 2008. In the first 3 years, scrutiny footprint was reduced by a third. Now most scrutiny activity is driven by SG direction and not within the gift of members. Consensus all possible gains have been made.</w:t>
            </w:r>
            <w:r w:rsidRPr="0C430FBF">
              <w:rPr>
                <w:rFonts w:ascii="Arial" w:eastAsia="Arial" w:hAnsi="Arial" w:cs="Arial"/>
                <w:color w:val="006B8D"/>
                <w:sz w:val="21"/>
                <w:szCs w:val="21"/>
              </w:rPr>
              <w:t xml:space="preserve"> </w:t>
            </w:r>
          </w:p>
          <w:p w:rsidR="0C430FBF" w:rsidRDefault="0C430FBF" w:rsidP="0C430FBF">
            <w:pPr>
              <w:spacing w:before="120" w:after="120"/>
            </w:pPr>
            <w:r w:rsidRPr="0C430FBF">
              <w:rPr>
                <w:rFonts w:ascii="Arial" w:eastAsia="Arial" w:hAnsi="Arial" w:cs="Arial"/>
                <w:b/>
                <w:bCs/>
                <w:color w:val="006B8D"/>
                <w:sz w:val="21"/>
                <w:szCs w:val="21"/>
              </w:rPr>
              <w:t>In 2023, AS replacing cycle of BVARs with work integrated into local financial audit, thereby further reducing the footprint.</w:t>
            </w:r>
            <w:r w:rsidRPr="0C430FBF">
              <w:rPr>
                <w:rFonts w:ascii="Arial" w:eastAsia="Arial" w:hAnsi="Arial" w:cs="Arial"/>
                <w:color w:val="006B8D"/>
                <w:sz w:val="21"/>
                <w:szCs w:val="21"/>
              </w:rPr>
              <w:t xml:space="preserve"> </w:t>
            </w:r>
          </w:p>
        </w:tc>
      </w:tr>
      <w:tr w:rsidR="0C430FBF" w:rsidTr="0C430FBF">
        <w:trPr>
          <w:trHeight w:val="300"/>
        </w:trPr>
        <w:tc>
          <w:tcPr>
            <w:tcW w:w="3820"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pStyle w:val="ListParagraph"/>
              <w:numPr>
                <w:ilvl w:val="0"/>
                <w:numId w:val="1"/>
              </w:numPr>
              <w:tabs>
                <w:tab w:val="left" w:pos="0"/>
                <w:tab w:val="left" w:pos="720"/>
              </w:tabs>
              <w:spacing w:after="0"/>
              <w:rPr>
                <w:rFonts w:ascii="Arial" w:eastAsia="Arial" w:hAnsi="Arial" w:cs="Arial"/>
                <w:color w:val="006B8D"/>
                <w:sz w:val="21"/>
                <w:szCs w:val="21"/>
              </w:rPr>
            </w:pPr>
            <w:r w:rsidRPr="0C430FBF">
              <w:rPr>
                <w:rFonts w:ascii="Arial" w:eastAsia="Arial" w:hAnsi="Arial" w:cs="Arial"/>
                <w:b/>
                <w:bCs/>
                <w:color w:val="006B8D"/>
                <w:sz w:val="21"/>
                <w:szCs w:val="21"/>
              </w:rPr>
              <w:t>This body would oversee the implementation of the practical arrangements for local government:</w:t>
            </w:r>
            <w:r w:rsidRPr="0C430FBF">
              <w:rPr>
                <w:rFonts w:ascii="Arial" w:eastAsia="Arial" w:hAnsi="Arial" w:cs="Arial"/>
                <w:color w:val="006B8D"/>
                <w:sz w:val="21"/>
                <w:szCs w:val="21"/>
              </w:rPr>
              <w:t xml:space="preserve"> </w:t>
            </w:r>
          </w:p>
          <w:p w:rsidR="0C430FBF" w:rsidRDefault="0C430FBF" w:rsidP="0C430FBF">
            <w:pPr>
              <w:pStyle w:val="ListParagraph"/>
              <w:numPr>
                <w:ilvl w:val="0"/>
                <w:numId w:val="1"/>
              </w:numPr>
              <w:tabs>
                <w:tab w:val="left" w:pos="0"/>
                <w:tab w:val="left" w:pos="720"/>
              </w:tabs>
              <w:spacing w:after="0"/>
              <w:rPr>
                <w:rFonts w:ascii="Arial" w:eastAsia="Arial" w:hAnsi="Arial" w:cs="Arial"/>
                <w:color w:val="006B8D"/>
                <w:sz w:val="21"/>
                <w:szCs w:val="21"/>
              </w:rPr>
            </w:pPr>
            <w:r w:rsidRPr="0C430FBF">
              <w:rPr>
                <w:rFonts w:ascii="Arial" w:eastAsia="Arial" w:hAnsi="Arial" w:cs="Arial"/>
                <w:b/>
                <w:bCs/>
                <w:color w:val="006B8D"/>
                <w:sz w:val="21"/>
                <w:szCs w:val="21"/>
              </w:rPr>
              <w:t xml:space="preserve">local government being the first sector in which self-assessment will become the core tool of accountability, with less reliance on external scrutiny </w:t>
            </w:r>
            <w:proofErr w:type="gramStart"/>
            <w:r w:rsidRPr="0C430FBF">
              <w:rPr>
                <w:rFonts w:ascii="Arial" w:eastAsia="Arial" w:hAnsi="Arial" w:cs="Arial"/>
                <w:b/>
                <w:bCs/>
                <w:color w:val="006B8D"/>
                <w:sz w:val="21"/>
                <w:szCs w:val="21"/>
              </w:rPr>
              <w:t>required</w:t>
            </w:r>
            <w:proofErr w:type="gramEnd"/>
            <w:r w:rsidRPr="0C430FBF">
              <w:rPr>
                <w:rFonts w:ascii="Arial" w:eastAsia="Arial" w:hAnsi="Arial" w:cs="Arial"/>
                <w:color w:val="006B8D"/>
                <w:sz w:val="21"/>
                <w:szCs w:val="21"/>
              </w:rPr>
              <w:t xml:space="preserve"> </w:t>
            </w:r>
          </w:p>
          <w:p w:rsidR="0C430FBF" w:rsidRDefault="0C430FBF" w:rsidP="0C430FBF">
            <w:pPr>
              <w:pStyle w:val="ListParagraph"/>
              <w:numPr>
                <w:ilvl w:val="0"/>
                <w:numId w:val="1"/>
              </w:numPr>
              <w:tabs>
                <w:tab w:val="left" w:pos="0"/>
                <w:tab w:val="left" w:pos="720"/>
              </w:tabs>
              <w:spacing w:after="0"/>
              <w:rPr>
                <w:rFonts w:ascii="Arial" w:eastAsia="Arial" w:hAnsi="Arial" w:cs="Arial"/>
                <w:color w:val="006B8D"/>
                <w:sz w:val="21"/>
                <w:szCs w:val="21"/>
              </w:rPr>
            </w:pPr>
            <w:r w:rsidRPr="0C430FBF">
              <w:rPr>
                <w:rFonts w:ascii="Arial" w:eastAsia="Arial" w:hAnsi="Arial" w:cs="Arial"/>
                <w:b/>
                <w:bCs/>
                <w:color w:val="006B8D"/>
                <w:sz w:val="21"/>
                <w:szCs w:val="21"/>
              </w:rPr>
              <w:t xml:space="preserve">reviewing all cyclical inspection; and merging corporate assessment processes into the Best Value audit process. </w:t>
            </w:r>
            <w:r w:rsidRPr="0C430FBF">
              <w:rPr>
                <w:rFonts w:ascii="Arial" w:eastAsia="Arial" w:hAnsi="Arial" w:cs="Arial"/>
                <w:color w:val="006B8D"/>
                <w:sz w:val="21"/>
                <w:szCs w:val="21"/>
              </w:rPr>
              <w:t xml:space="preserve"> </w:t>
            </w:r>
          </w:p>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tcPr>
          <w:p w:rsidR="0C430FBF" w:rsidRDefault="0C430FBF" w:rsidP="0C430FBF">
            <w:pPr>
              <w:spacing w:before="120" w:after="120"/>
            </w:pPr>
            <w:r w:rsidRPr="0C430FBF">
              <w:rPr>
                <w:rFonts w:ascii="Arial" w:eastAsia="Arial" w:hAnsi="Arial" w:cs="Arial"/>
                <w:b/>
                <w:bCs/>
                <w:color w:val="006B8D"/>
                <w:sz w:val="21"/>
                <w:szCs w:val="21"/>
              </w:rPr>
              <w:t xml:space="preserve">AS rely on self-assessment in councils in Best Value audits. Not clear extent used in other agencies, though traditionally used in ES and CI. </w:t>
            </w:r>
            <w:r w:rsidRPr="0C430FBF">
              <w:rPr>
                <w:rFonts w:ascii="Arial" w:eastAsia="Arial" w:hAnsi="Arial" w:cs="Arial"/>
                <w:color w:val="006B8D"/>
                <w:sz w:val="21"/>
                <w:szCs w:val="21"/>
              </w:rPr>
              <w:t xml:space="preserve"> </w:t>
            </w:r>
          </w:p>
          <w:p w:rsidR="0C430FBF" w:rsidRDefault="0C430FBF" w:rsidP="0C430FBF">
            <w:pPr>
              <w:spacing w:before="120" w:after="120"/>
            </w:pPr>
            <w:r w:rsidRPr="0C430FBF">
              <w:rPr>
                <w:rFonts w:ascii="Arial" w:eastAsia="Arial" w:hAnsi="Arial" w:cs="Arial"/>
                <w:b/>
                <w:bCs/>
                <w:color w:val="006B8D"/>
                <w:sz w:val="21"/>
                <w:szCs w:val="21"/>
              </w:rPr>
              <w:t xml:space="preserve">Self-assessment has led to less and more focused external scrutiny. </w:t>
            </w:r>
            <w:r w:rsidRPr="0C430FBF">
              <w:rPr>
                <w:rFonts w:ascii="Arial" w:eastAsia="Arial" w:hAnsi="Arial" w:cs="Arial"/>
                <w:color w:val="006B8D"/>
                <w:sz w:val="21"/>
                <w:szCs w:val="21"/>
              </w:rPr>
              <w:t xml:space="preserve"> </w:t>
            </w:r>
          </w:p>
          <w:p w:rsidR="0C430FBF" w:rsidRDefault="0C430FBF" w:rsidP="0C430FBF">
            <w:pPr>
              <w:spacing w:before="120" w:after="120"/>
            </w:pPr>
            <w:r w:rsidRPr="0C430FBF">
              <w:rPr>
                <w:rFonts w:ascii="Arial" w:eastAsia="Arial" w:hAnsi="Arial" w:cs="Arial"/>
                <w:b/>
                <w:bCs/>
                <w:color w:val="006B8D"/>
                <w:sz w:val="21"/>
                <w:szCs w:val="21"/>
              </w:rPr>
              <w:t>SSG reviewed cyclical inspection in first 3 years, and now largely driven by SG requests. AS ending cyclical BV work with integrated work into financial audit and annual national thematic work (also integrated into local audit).</w:t>
            </w:r>
            <w:r w:rsidRPr="0C430FBF">
              <w:rPr>
                <w:rFonts w:ascii="Arial" w:eastAsia="Arial" w:hAnsi="Arial" w:cs="Arial"/>
                <w:color w:val="006B8D"/>
                <w:sz w:val="21"/>
                <w:szCs w:val="21"/>
              </w:rPr>
              <w:t xml:space="preserve"> </w:t>
            </w:r>
          </w:p>
        </w:tc>
      </w:tr>
    </w:tbl>
    <w:p w:rsidR="00B9102B" w:rsidRDefault="3A4A4B92" w:rsidP="0C430FBF">
      <w:pPr>
        <w:spacing w:after="240"/>
      </w:pPr>
      <w:r w:rsidRPr="0C430FBF">
        <w:rPr>
          <w:rFonts w:ascii="Arial" w:eastAsia="Arial" w:hAnsi="Arial" w:cs="Arial"/>
          <w:color w:val="1F497D"/>
          <w:sz w:val="20"/>
          <w:szCs w:val="20"/>
        </w:rPr>
        <w:t xml:space="preserve"> </w:t>
      </w:r>
    </w:p>
    <w:p w:rsidR="00B9102B" w:rsidRDefault="3A4A4B92">
      <w:r w:rsidRPr="0C430FBF">
        <w:rPr>
          <w:rFonts w:ascii="Aptos" w:eastAsia="Aptos" w:hAnsi="Aptos" w:cs="Aptos"/>
          <w:color w:val="000000" w:themeColor="text1"/>
          <w:sz w:val="24"/>
          <w:szCs w:val="24"/>
        </w:rPr>
        <w:t xml:space="preserve"> </w:t>
      </w:r>
    </w:p>
    <w:p w:rsidR="00B9102B" w:rsidRDefault="00B9102B" w:rsidP="0C430FBF">
      <w:pPr>
        <w:rPr>
          <w:rFonts w:ascii="Calibri" w:eastAsia="Calibri" w:hAnsi="Calibri" w:cs="Calibri"/>
          <w:color w:val="002060"/>
          <w:sz w:val="20"/>
          <w:szCs w:val="20"/>
        </w:rPr>
      </w:pPr>
    </w:p>
    <w:p w:rsidR="00B9102B" w:rsidRDefault="00B9102B" w:rsidP="0C430FBF"/>
    <w:sectPr w:rsidR="00B910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8CF50"/>
    <w:multiLevelType w:val="hybridMultilevel"/>
    <w:tmpl w:val="39F4D538"/>
    <w:lvl w:ilvl="0" w:tplc="59101218">
      <w:start w:val="1"/>
      <w:numFmt w:val="bullet"/>
      <w:lvlText w:val=""/>
      <w:lvlJc w:val="left"/>
      <w:pPr>
        <w:ind w:left="720" w:hanging="360"/>
      </w:pPr>
      <w:rPr>
        <w:rFonts w:ascii="Symbol" w:hAnsi="Symbol" w:hint="default"/>
      </w:rPr>
    </w:lvl>
    <w:lvl w:ilvl="1" w:tplc="89E20F72">
      <w:start w:val="1"/>
      <w:numFmt w:val="bullet"/>
      <w:lvlText w:val="o"/>
      <w:lvlJc w:val="left"/>
      <w:pPr>
        <w:ind w:left="1440" w:hanging="360"/>
      </w:pPr>
      <w:rPr>
        <w:rFonts w:ascii="Courier New" w:hAnsi="Courier New" w:hint="default"/>
      </w:rPr>
    </w:lvl>
    <w:lvl w:ilvl="2" w:tplc="D2FE1BBE">
      <w:start w:val="1"/>
      <w:numFmt w:val="bullet"/>
      <w:lvlText w:val=""/>
      <w:lvlJc w:val="left"/>
      <w:pPr>
        <w:ind w:left="2160" w:hanging="360"/>
      </w:pPr>
      <w:rPr>
        <w:rFonts w:ascii="Wingdings" w:hAnsi="Wingdings" w:hint="default"/>
      </w:rPr>
    </w:lvl>
    <w:lvl w:ilvl="3" w:tplc="A5F052FA">
      <w:start w:val="1"/>
      <w:numFmt w:val="bullet"/>
      <w:lvlText w:val=""/>
      <w:lvlJc w:val="left"/>
      <w:pPr>
        <w:ind w:left="2880" w:hanging="360"/>
      </w:pPr>
      <w:rPr>
        <w:rFonts w:ascii="Symbol" w:hAnsi="Symbol" w:hint="default"/>
      </w:rPr>
    </w:lvl>
    <w:lvl w:ilvl="4" w:tplc="941C59D4">
      <w:start w:val="1"/>
      <w:numFmt w:val="bullet"/>
      <w:lvlText w:val="o"/>
      <w:lvlJc w:val="left"/>
      <w:pPr>
        <w:ind w:left="3600" w:hanging="360"/>
      </w:pPr>
      <w:rPr>
        <w:rFonts w:ascii="Courier New" w:hAnsi="Courier New" w:hint="default"/>
      </w:rPr>
    </w:lvl>
    <w:lvl w:ilvl="5" w:tplc="8190DEC8">
      <w:start w:val="1"/>
      <w:numFmt w:val="bullet"/>
      <w:lvlText w:val=""/>
      <w:lvlJc w:val="left"/>
      <w:pPr>
        <w:ind w:left="4320" w:hanging="360"/>
      </w:pPr>
      <w:rPr>
        <w:rFonts w:ascii="Wingdings" w:hAnsi="Wingdings" w:hint="default"/>
      </w:rPr>
    </w:lvl>
    <w:lvl w:ilvl="6" w:tplc="54B641DC">
      <w:start w:val="1"/>
      <w:numFmt w:val="bullet"/>
      <w:lvlText w:val=""/>
      <w:lvlJc w:val="left"/>
      <w:pPr>
        <w:ind w:left="5040" w:hanging="360"/>
      </w:pPr>
      <w:rPr>
        <w:rFonts w:ascii="Symbol" w:hAnsi="Symbol" w:hint="default"/>
      </w:rPr>
    </w:lvl>
    <w:lvl w:ilvl="7" w:tplc="FDA43224">
      <w:start w:val="1"/>
      <w:numFmt w:val="bullet"/>
      <w:lvlText w:val="o"/>
      <w:lvlJc w:val="left"/>
      <w:pPr>
        <w:ind w:left="5760" w:hanging="360"/>
      </w:pPr>
      <w:rPr>
        <w:rFonts w:ascii="Courier New" w:hAnsi="Courier New" w:hint="default"/>
      </w:rPr>
    </w:lvl>
    <w:lvl w:ilvl="8" w:tplc="F6CCA382">
      <w:start w:val="1"/>
      <w:numFmt w:val="bullet"/>
      <w:lvlText w:val=""/>
      <w:lvlJc w:val="left"/>
      <w:pPr>
        <w:ind w:left="6480" w:hanging="360"/>
      </w:pPr>
      <w:rPr>
        <w:rFonts w:ascii="Wingdings" w:hAnsi="Wingdings" w:hint="default"/>
      </w:rPr>
    </w:lvl>
  </w:abstractNum>
  <w:num w:numId="1" w16cid:durableId="119919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336E08"/>
    <w:rsid w:val="00365919"/>
    <w:rsid w:val="00663EC8"/>
    <w:rsid w:val="009D4AA7"/>
    <w:rsid w:val="00B9102B"/>
    <w:rsid w:val="0C430FBF"/>
    <w:rsid w:val="3A4A4B92"/>
    <w:rsid w:val="7F336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6E08"/>
  <w15:chartTrackingRefBased/>
  <w15:docId w15:val="{897C490B-23B7-41AF-9113-F67B7325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Sherry</dc:creator>
  <cp:keywords/>
  <dc:description/>
  <cp:lastModifiedBy>Louise Jenkins</cp:lastModifiedBy>
  <cp:revision>1</cp:revision>
  <dcterms:created xsi:type="dcterms:W3CDTF">2023-12-15T09:54:00Z</dcterms:created>
  <dcterms:modified xsi:type="dcterms:W3CDTF">2023-12-15T09:54:00Z</dcterms:modified>
</cp:coreProperties>
</file>